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A5D2" w14:textId="77777777" w:rsidR="00D3721F" w:rsidRDefault="00D3721F" w:rsidP="00F4503E">
      <w:pPr>
        <w:jc w:val="center"/>
        <w:rPr>
          <w:rFonts w:ascii="David" w:hAnsi="David" w:cs="David"/>
          <w:b/>
          <w:bCs/>
          <w:sz w:val="32"/>
          <w:szCs w:val="32"/>
          <w:u w:val="single"/>
          <w:rtl/>
        </w:rPr>
      </w:pPr>
    </w:p>
    <w:p w14:paraId="0AE516DB" w14:textId="27834B40" w:rsidR="00F4503E" w:rsidRPr="005A0A30" w:rsidRDefault="00596A1C" w:rsidP="00F4503E">
      <w:pPr>
        <w:jc w:val="center"/>
        <w:rPr>
          <w:rFonts w:ascii="David" w:hAnsi="David" w:cs="David"/>
          <w:b/>
          <w:bCs/>
          <w:sz w:val="32"/>
          <w:szCs w:val="32"/>
          <w:u w:val="single"/>
          <w:rtl/>
        </w:rPr>
      </w:pPr>
      <w:r w:rsidRPr="00532FCC">
        <w:rPr>
          <w:rFonts w:ascii="David" w:hAnsi="David" w:cs="David" w:hint="cs"/>
          <w:b/>
          <w:bCs/>
          <w:sz w:val="32"/>
          <w:szCs w:val="32"/>
          <w:u w:val="single"/>
          <w:rtl/>
        </w:rPr>
        <w:t xml:space="preserve">מדיניות </w:t>
      </w:r>
      <w:r w:rsidR="00F4503E" w:rsidRPr="005A0A30">
        <w:rPr>
          <w:rFonts w:ascii="David" w:hAnsi="David" w:cs="David"/>
          <w:b/>
          <w:bCs/>
          <w:sz w:val="32"/>
          <w:szCs w:val="32"/>
          <w:u w:val="single"/>
          <w:rtl/>
        </w:rPr>
        <w:t>השקעות אחראיות (</w:t>
      </w:r>
      <w:r w:rsidR="00F4503E" w:rsidRPr="005A0A30">
        <w:rPr>
          <w:rFonts w:ascii="David" w:hAnsi="David"/>
          <w:b/>
          <w:sz w:val="32"/>
          <w:u w:val="single"/>
        </w:rPr>
        <w:t>ESG</w:t>
      </w:r>
      <w:r w:rsidR="00F4503E" w:rsidRPr="005A0A30">
        <w:rPr>
          <w:rFonts w:ascii="David" w:hAnsi="David" w:cs="David"/>
          <w:b/>
          <w:bCs/>
          <w:sz w:val="32"/>
          <w:szCs w:val="32"/>
          <w:u w:val="single"/>
          <w:rtl/>
        </w:rPr>
        <w:t>)</w:t>
      </w:r>
    </w:p>
    <w:p w14:paraId="11AA7926" w14:textId="2EE865BF" w:rsidR="00B378C7" w:rsidRPr="00344181" w:rsidRDefault="00B378C7" w:rsidP="00F4503E">
      <w:pPr>
        <w:jc w:val="both"/>
        <w:rPr>
          <w:rFonts w:ascii="David" w:hAnsi="David" w:cs="David"/>
          <w:b/>
          <w:bCs/>
          <w:sz w:val="24"/>
          <w:szCs w:val="24"/>
          <w:u w:val="single"/>
          <w:rtl/>
        </w:rPr>
      </w:pPr>
      <w:r w:rsidRPr="00344181">
        <w:rPr>
          <w:rFonts w:ascii="David" w:hAnsi="David" w:cs="David"/>
          <w:b/>
          <w:bCs/>
          <w:sz w:val="24"/>
          <w:szCs w:val="24"/>
          <w:u w:val="single"/>
          <w:rtl/>
        </w:rPr>
        <w:t>כללי</w:t>
      </w:r>
    </w:p>
    <w:p w14:paraId="53F65303" w14:textId="20B8AE29" w:rsidR="00F4503E" w:rsidRPr="00344181" w:rsidRDefault="00F4503E"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במסגרת קביעת מדיניות ההשקעות הצפויה של </w:t>
      </w:r>
      <w:r w:rsidR="00596A1C">
        <w:rPr>
          <w:rFonts w:ascii="David" w:hAnsi="David" w:cs="David" w:hint="cs"/>
          <w:sz w:val="24"/>
          <w:szCs w:val="24"/>
          <w:rtl/>
        </w:rPr>
        <w:t>החברה</w:t>
      </w:r>
      <w:r w:rsidRPr="00344181">
        <w:rPr>
          <w:rFonts w:ascii="David" w:hAnsi="David" w:cs="David"/>
          <w:sz w:val="24"/>
          <w:szCs w:val="24"/>
          <w:rtl/>
        </w:rPr>
        <w:t xml:space="preserve"> יפורטו שיקולי ההשקעה השונים הנוגעים, בין היתר, לשיקולים הנוגעים להיבטים סביבתיים, חברתיים ולהיבטי ממשל תאגידי, לצד בחינה ושקילה של סיכונים הקשורים לסיכונים מתפתחים מהותיים כגון סיכונים טכנולוגיים וסיכוני סייבר ("</w:t>
      </w:r>
      <w:r w:rsidRPr="00DD7079">
        <w:rPr>
          <w:rFonts w:ascii="David" w:hAnsi="David" w:cs="David"/>
          <w:sz w:val="24"/>
          <w:szCs w:val="24"/>
          <w:rtl/>
        </w:rPr>
        <w:t xml:space="preserve">שיקולי </w:t>
      </w:r>
      <w:r w:rsidRPr="00DD7079">
        <w:rPr>
          <w:rFonts w:ascii="David" w:hAnsi="David" w:cs="David"/>
          <w:sz w:val="24"/>
          <w:szCs w:val="24"/>
        </w:rPr>
        <w:t>ESG</w:t>
      </w:r>
      <w:r w:rsidRPr="00344181">
        <w:rPr>
          <w:rFonts w:ascii="David" w:hAnsi="David" w:cs="David"/>
          <w:sz w:val="24"/>
          <w:szCs w:val="24"/>
          <w:rtl/>
        </w:rPr>
        <w:t>").</w:t>
      </w:r>
    </w:p>
    <w:p w14:paraId="2BDB7A60" w14:textId="77777777" w:rsidR="001602EB" w:rsidRPr="00344181" w:rsidRDefault="001602EB"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במסגרת מכלול השיקולים לבחינת השקעות, הינה בעלת השפעה חיובית על התנהגות התאגידים נשוא ההשקעה ויש בכוחה להגביר את השקיפות מצד התאגידים בהם משקיעה החברה ולהוביל לשינוי בדפוסי פעילות ואימוץ של נורמות וכללי התנהגות </w:t>
      </w:r>
      <w:r w:rsidR="00322E39" w:rsidRPr="00344181">
        <w:rPr>
          <w:rFonts w:ascii="David" w:hAnsi="David" w:cs="David"/>
          <w:sz w:val="24"/>
          <w:szCs w:val="24"/>
          <w:rtl/>
        </w:rPr>
        <w:t>ראויים</w:t>
      </w:r>
      <w:r w:rsidRPr="00344181">
        <w:rPr>
          <w:rFonts w:ascii="David" w:hAnsi="David" w:cs="David"/>
          <w:sz w:val="24"/>
          <w:szCs w:val="24"/>
          <w:rtl/>
        </w:rPr>
        <w:t xml:space="preserve"> </w:t>
      </w:r>
      <w:r w:rsidR="00322E39" w:rsidRPr="00344181">
        <w:rPr>
          <w:rFonts w:ascii="David" w:hAnsi="David" w:cs="David"/>
          <w:sz w:val="24"/>
          <w:szCs w:val="24"/>
          <w:rtl/>
        </w:rPr>
        <w:t>ב</w:t>
      </w:r>
      <w:r w:rsidRPr="00344181">
        <w:rPr>
          <w:rFonts w:ascii="David" w:hAnsi="David" w:cs="David"/>
          <w:sz w:val="24"/>
          <w:szCs w:val="24"/>
          <w:rtl/>
        </w:rPr>
        <w:t>כל הנוגע להתנהלותם בהיבטים סביבתיים, חברתיים ו</w:t>
      </w:r>
      <w:r w:rsidR="00322E39" w:rsidRPr="00344181">
        <w:rPr>
          <w:rFonts w:ascii="David" w:hAnsi="David" w:cs="David"/>
          <w:sz w:val="24"/>
          <w:szCs w:val="24"/>
          <w:rtl/>
        </w:rPr>
        <w:t xml:space="preserve">כן לשיפור </w:t>
      </w:r>
      <w:r w:rsidRPr="00344181">
        <w:rPr>
          <w:rFonts w:ascii="David" w:hAnsi="David" w:cs="David"/>
          <w:sz w:val="24"/>
          <w:szCs w:val="24"/>
          <w:rtl/>
        </w:rPr>
        <w:t xml:space="preserve">איכות הממשל התאגידי. </w:t>
      </w:r>
    </w:p>
    <w:p w14:paraId="1DF27803" w14:textId="77777777" w:rsidR="001602EB" w:rsidRPr="00344181" w:rsidRDefault="001602EB"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תבוא לידי ביטוי במסגרת בחינת השקעות פרטניות וכן בבחינת תמהיל התיק בכללותו (בפרט בכל הנוגע לשיעור החשיפה הכוללת להשקעות בעלות סממנים "ירוקים" סביבתיים </w:t>
      </w:r>
      <w:r w:rsidR="00F603F7" w:rsidRPr="00344181">
        <w:rPr>
          <w:rFonts w:ascii="David" w:hAnsi="David" w:cs="David"/>
          <w:sz w:val="24"/>
          <w:szCs w:val="24"/>
          <w:rtl/>
        </w:rPr>
        <w:t xml:space="preserve">ולבחינת שיעור החשיפה הכולל לתאגידים בעלי השפעה סביבתית שלילית). </w:t>
      </w:r>
    </w:p>
    <w:p w14:paraId="79F2DB56" w14:textId="77777777" w:rsidR="00344181" w:rsidRDefault="00591862"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מוצאת לנכון לאמץ את </w:t>
      </w:r>
      <w:r w:rsidRPr="00DD7079">
        <w:rPr>
          <w:rFonts w:ascii="David" w:hAnsi="David" w:cs="David"/>
          <w:sz w:val="24"/>
          <w:szCs w:val="24"/>
          <w:rtl/>
        </w:rPr>
        <w:t>הגישה החיובית</w:t>
      </w:r>
      <w:r w:rsidRPr="00344181">
        <w:rPr>
          <w:rFonts w:ascii="David" w:hAnsi="David" w:cs="David"/>
          <w:sz w:val="24"/>
          <w:szCs w:val="24"/>
          <w:rtl/>
        </w:rPr>
        <w:t xml:space="preserve"> בתחום השקעות אחראיות </w:t>
      </w:r>
      <w:r w:rsidR="007B528D" w:rsidRPr="00344181">
        <w:rPr>
          <w:rFonts w:ascii="David" w:hAnsi="David" w:cs="David"/>
          <w:sz w:val="24"/>
          <w:szCs w:val="24"/>
          <w:rtl/>
        </w:rPr>
        <w:t>ובמסגרת זו תעניק משקל יתר להשקעות בתאגידים שערכי ה-</w:t>
      </w:r>
      <w:r w:rsidR="007B528D" w:rsidRPr="00344181">
        <w:rPr>
          <w:rFonts w:ascii="David" w:hAnsi="David" w:cs="David"/>
          <w:sz w:val="24"/>
          <w:szCs w:val="24"/>
        </w:rPr>
        <w:t>ESG</w:t>
      </w:r>
      <w:r w:rsidR="007B528D" w:rsidRPr="00344181">
        <w:rPr>
          <w:rFonts w:ascii="David" w:hAnsi="David" w:cs="David"/>
          <w:sz w:val="24"/>
          <w:szCs w:val="24"/>
          <w:rtl/>
        </w:rPr>
        <w:t xml:space="preserve"> שלהם גבוהים ביחס לקבוצת הייחוס הרלוונטית אליה אותו תאגיד נשוא ההשקעה משתייך. </w:t>
      </w:r>
    </w:p>
    <w:p w14:paraId="74D560AF" w14:textId="77777777" w:rsidR="00182A2A" w:rsidRPr="00344181" w:rsidRDefault="007B528D"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בהתאם, במסגרת בחינת חלופות השקעה בעלות מאפי</w:t>
      </w:r>
      <w:r w:rsidR="00F603F7" w:rsidRPr="00344181">
        <w:rPr>
          <w:rFonts w:ascii="David" w:hAnsi="David" w:cs="David"/>
          <w:sz w:val="24"/>
          <w:szCs w:val="24"/>
          <w:rtl/>
        </w:rPr>
        <w:t>י</w:t>
      </w:r>
      <w:r w:rsidRPr="00344181">
        <w:rPr>
          <w:rFonts w:ascii="David" w:hAnsi="David" w:cs="David"/>
          <w:sz w:val="24"/>
          <w:szCs w:val="24"/>
          <w:rtl/>
        </w:rPr>
        <w:t xml:space="preserve">נים כלכלים דומים או זהים – תוענק </w:t>
      </w:r>
      <w:r w:rsidR="00B378C7" w:rsidRPr="00344181">
        <w:rPr>
          <w:rFonts w:ascii="David" w:hAnsi="David" w:cs="David"/>
          <w:sz w:val="24"/>
          <w:szCs w:val="24"/>
          <w:rtl/>
        </w:rPr>
        <w:tab/>
      </w:r>
      <w:r w:rsidRPr="00344181">
        <w:rPr>
          <w:rFonts w:ascii="David" w:hAnsi="David" w:cs="David"/>
          <w:sz w:val="24"/>
          <w:szCs w:val="24"/>
          <w:rtl/>
        </w:rPr>
        <w:t>עדיפות להשקעות הטומנות בחובן גם ערכים מתחום ההשקעות האחראיות (לדוגמה מתן</w:t>
      </w:r>
      <w:r w:rsidR="00344181">
        <w:rPr>
          <w:rFonts w:ascii="David" w:hAnsi="David" w:cs="David" w:hint="cs"/>
          <w:sz w:val="24"/>
          <w:szCs w:val="24"/>
          <w:rtl/>
        </w:rPr>
        <w:t xml:space="preserve"> </w:t>
      </w:r>
      <w:r w:rsidRPr="00344181">
        <w:rPr>
          <w:rFonts w:ascii="David" w:hAnsi="David" w:cs="David"/>
          <w:sz w:val="24"/>
          <w:szCs w:val="24"/>
          <w:rtl/>
        </w:rPr>
        <w:t>העדפה להשקעה בתחום של אנרגיה מתחדשת על פני השקעה בתחום האנרגיה המסורתית</w:t>
      </w:r>
      <w:r w:rsidR="00344181">
        <w:rPr>
          <w:rFonts w:ascii="David" w:hAnsi="David" w:cs="David" w:hint="cs"/>
          <w:sz w:val="24"/>
          <w:szCs w:val="24"/>
          <w:rtl/>
        </w:rPr>
        <w:t xml:space="preserve"> </w:t>
      </w:r>
      <w:r w:rsidRPr="00344181">
        <w:rPr>
          <w:rFonts w:ascii="David" w:hAnsi="David" w:cs="David"/>
          <w:sz w:val="24"/>
          <w:szCs w:val="24"/>
          <w:rtl/>
        </w:rPr>
        <w:t>בתשואה דומה</w:t>
      </w:r>
      <w:r w:rsidR="00F603F7" w:rsidRPr="00344181">
        <w:rPr>
          <w:rFonts w:ascii="David" w:hAnsi="David" w:cs="David"/>
          <w:sz w:val="24"/>
          <w:szCs w:val="24"/>
          <w:rtl/>
        </w:rPr>
        <w:t>;</w:t>
      </w:r>
      <w:r w:rsidRPr="00344181">
        <w:rPr>
          <w:rFonts w:ascii="David" w:hAnsi="David" w:cs="David"/>
          <w:sz w:val="24"/>
          <w:szCs w:val="24"/>
          <w:rtl/>
        </w:rPr>
        <w:t xml:space="preserve"> או השקעה בתאגיד בתחום האנרגיה המסורתית המדורג במיקום עדיף ביחס לתאגיד בתחום האנרגיה המסורתית הנמצא באותה קבוצת ייחוס). </w:t>
      </w:r>
    </w:p>
    <w:p w14:paraId="38EB0FE3" w14:textId="29C15584" w:rsidR="00322E39" w:rsidRDefault="001C7879"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w:t>
      </w:r>
      <w:r w:rsidR="00D85A33">
        <w:rPr>
          <w:rFonts w:ascii="David" w:hAnsi="David" w:cs="David" w:hint="cs"/>
          <w:sz w:val="24"/>
          <w:szCs w:val="24"/>
          <w:rtl/>
        </w:rPr>
        <w:t xml:space="preserve">(באמצעות מנהל ההשקעות) </w:t>
      </w:r>
      <w:r w:rsidRPr="00344181">
        <w:rPr>
          <w:rFonts w:ascii="David" w:hAnsi="David" w:cs="David"/>
          <w:sz w:val="24"/>
          <w:szCs w:val="24"/>
          <w:rtl/>
        </w:rPr>
        <w:t xml:space="preserve">התקשרה עם ספק חיצוני לקבלת דוחות אנליטיים לבחינת היבטי </w:t>
      </w:r>
      <w:r w:rsidRPr="00344181">
        <w:rPr>
          <w:rFonts w:ascii="David" w:hAnsi="David" w:cs="David"/>
          <w:sz w:val="24"/>
          <w:szCs w:val="24"/>
        </w:rPr>
        <w:t>ESG</w:t>
      </w:r>
      <w:r w:rsidRPr="00344181">
        <w:rPr>
          <w:rFonts w:ascii="David" w:hAnsi="David" w:cs="David"/>
          <w:sz w:val="24"/>
          <w:szCs w:val="24"/>
          <w:rtl/>
        </w:rPr>
        <w:t xml:space="preserve"> בתאגידים נסחרים בשוק המקומי, המבוססים על מתודולוגיה סדורה </w:t>
      </w:r>
      <w:r w:rsidR="00322E39" w:rsidRPr="00344181">
        <w:rPr>
          <w:rFonts w:ascii="David" w:hAnsi="David" w:cs="David"/>
          <w:sz w:val="24"/>
          <w:szCs w:val="24"/>
          <w:rtl/>
        </w:rPr>
        <w:t xml:space="preserve">הכוללת </w:t>
      </w:r>
      <w:r w:rsidR="00DD7079">
        <w:rPr>
          <w:rFonts w:ascii="David" w:hAnsi="David" w:cs="David" w:hint="cs"/>
          <w:sz w:val="24"/>
          <w:szCs w:val="24"/>
          <w:rtl/>
        </w:rPr>
        <w:t xml:space="preserve">ודוח סדור </w:t>
      </w:r>
      <w:r w:rsidR="00283BF4">
        <w:rPr>
          <w:rFonts w:ascii="David" w:hAnsi="David" w:cs="David" w:hint="cs"/>
          <w:sz w:val="24"/>
          <w:szCs w:val="24"/>
          <w:rtl/>
        </w:rPr>
        <w:t>עבור כל תאגיד בו נבחנת השקעה</w:t>
      </w:r>
      <w:r w:rsidR="00322E39" w:rsidRPr="00344181">
        <w:rPr>
          <w:rFonts w:ascii="David" w:hAnsi="David" w:cs="David"/>
          <w:sz w:val="24"/>
          <w:szCs w:val="24"/>
          <w:rtl/>
        </w:rPr>
        <w:t xml:space="preserve">. </w:t>
      </w:r>
      <w:r w:rsidR="00322E39" w:rsidRPr="00344181">
        <w:rPr>
          <w:rFonts w:ascii="David" w:hAnsi="David" w:cs="David"/>
          <w:sz w:val="24"/>
          <w:szCs w:val="24"/>
        </w:rPr>
        <w:t xml:space="preserve"> </w:t>
      </w:r>
    </w:p>
    <w:p w14:paraId="2CCD4A1D" w14:textId="77777777" w:rsidR="00DD7079" w:rsidRDefault="00DD7079"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במסגרת אופן ניהול ההשקעות ובחירתם, יבחנו דוחות האחריות התאגידים והפרמטרים השונים הנכללים במסגרתם. החברה תהא רשאית להרחיב ולהתבסס על נתונים נוספים מעבר לפרמטרים הנכללים בדוחות. </w:t>
      </w:r>
    </w:p>
    <w:p w14:paraId="5AA0FB6C" w14:textId="77777777" w:rsidR="00DD7079" w:rsidRDefault="00DD7079"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lastRenderedPageBreak/>
        <w:t xml:space="preserve">בהתייחס להשקעות ישירות בתאגידים הנסחרים בחו"ל, החברה תעשה שימוש בדוחות ובנתונים המתקבלים ממערכות מידע פיננסי המקובלות בשוק. </w:t>
      </w:r>
    </w:p>
    <w:p w14:paraId="6CDA439C" w14:textId="77777777" w:rsidR="00501E70" w:rsidRDefault="00501E70"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יובהר כי ציון ו/או דירוג נמוך במסגרת הדוח או במסגרת פרמטרים הנכללים בו, אינו מוביל בהכרח להימנעות ו/או פסילת ההשקעה. </w:t>
      </w:r>
    </w:p>
    <w:p w14:paraId="0C60AEA9" w14:textId="77777777" w:rsidR="00501E70" w:rsidRPr="00344181" w:rsidRDefault="00501E70"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מדי רבעון ובתום כל שנה תיערך סקירה על עדכונים בדוחות של התאגידים הרלוונטיים בתיק ההשקעות של החברה. </w:t>
      </w:r>
    </w:p>
    <w:p w14:paraId="74194DF3" w14:textId="77777777" w:rsidR="001C7879" w:rsidRDefault="00B378C7"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הואיל והכללת </w:t>
      </w:r>
      <w:r w:rsidR="00354083" w:rsidRPr="00344181">
        <w:rPr>
          <w:rFonts w:ascii="David" w:hAnsi="David" w:cs="David"/>
          <w:sz w:val="24"/>
          <w:szCs w:val="24"/>
          <w:rtl/>
        </w:rPr>
        <w:t xml:space="preserve">שיקולי </w:t>
      </w:r>
      <w:r w:rsidR="00354083" w:rsidRPr="00344181">
        <w:rPr>
          <w:rFonts w:ascii="David" w:hAnsi="David" w:cs="David"/>
          <w:sz w:val="24"/>
          <w:szCs w:val="24"/>
        </w:rPr>
        <w:t>ESG</w:t>
      </w:r>
      <w:r w:rsidR="00354083" w:rsidRPr="00344181">
        <w:rPr>
          <w:rFonts w:ascii="David" w:hAnsi="David" w:cs="David"/>
          <w:sz w:val="24"/>
          <w:szCs w:val="24"/>
          <w:rtl/>
        </w:rPr>
        <w:t xml:space="preserve"> במסגרת בחינת חלופות השקעה נמצאת בשלביה הראשוניים</w:t>
      </w:r>
      <w:r w:rsidRPr="00344181">
        <w:rPr>
          <w:rFonts w:ascii="David" w:hAnsi="David" w:cs="David"/>
          <w:sz w:val="24"/>
          <w:szCs w:val="24"/>
          <w:rtl/>
        </w:rPr>
        <w:t xml:space="preserve">, בשלב זה, </w:t>
      </w:r>
      <w:r w:rsidR="00354083" w:rsidRPr="00344181">
        <w:rPr>
          <w:rFonts w:ascii="David" w:hAnsi="David" w:cs="David"/>
          <w:sz w:val="24"/>
          <w:szCs w:val="24"/>
          <w:rtl/>
        </w:rPr>
        <w:t>לא תיושם מדיניות של הימנעות גורפת מהשקעות בענפים מסוימים</w:t>
      </w:r>
      <w:r w:rsidR="00F20707">
        <w:rPr>
          <w:rFonts w:ascii="David" w:hAnsi="David" w:cs="David" w:hint="cs"/>
          <w:sz w:val="24"/>
          <w:szCs w:val="24"/>
          <w:rtl/>
        </w:rPr>
        <w:t xml:space="preserve"> אולם החברה הגדירה מדיניות של הסטת השקעות בתחומי האנרגיה והתשתיות הפוסיליים</w:t>
      </w:r>
      <w:r w:rsidR="00F20707" w:rsidRPr="00DD7079">
        <w:rPr>
          <w:vertAlign w:val="superscript"/>
          <w:rtl/>
        </w:rPr>
        <w:footnoteReference w:id="2"/>
      </w:r>
      <w:r w:rsidR="00F20707" w:rsidRPr="00DD7079">
        <w:rPr>
          <w:rFonts w:ascii="David" w:hAnsi="David" w:cs="David" w:hint="cs"/>
          <w:sz w:val="24"/>
          <w:szCs w:val="24"/>
          <w:vertAlign w:val="superscript"/>
          <w:rtl/>
        </w:rPr>
        <w:t xml:space="preserve"> </w:t>
      </w:r>
      <w:r w:rsidR="00F20707">
        <w:rPr>
          <w:rFonts w:ascii="David" w:hAnsi="David" w:cs="David" w:hint="cs"/>
          <w:sz w:val="24"/>
          <w:szCs w:val="24"/>
          <w:rtl/>
        </w:rPr>
        <w:t>והקטנת החשיפה אליהם במסגרת תיק ההשקעות הסחירות הכולל</w:t>
      </w:r>
      <w:r w:rsidR="00354083" w:rsidRPr="00344181">
        <w:rPr>
          <w:rFonts w:ascii="David" w:hAnsi="David" w:cs="David"/>
          <w:sz w:val="24"/>
          <w:szCs w:val="24"/>
          <w:rtl/>
        </w:rPr>
        <w:t xml:space="preserve">.  </w:t>
      </w:r>
    </w:p>
    <w:p w14:paraId="09D06B33" w14:textId="0188C5BD" w:rsidR="001F693F" w:rsidRDefault="001F693F"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החברה באישור ועדת השקעות</w:t>
      </w:r>
      <w:r w:rsidR="00D3721F">
        <w:rPr>
          <w:rFonts w:ascii="David" w:hAnsi="David" w:cs="David" w:hint="cs"/>
          <w:sz w:val="24"/>
          <w:szCs w:val="24"/>
          <w:rtl/>
        </w:rPr>
        <w:t>,</w:t>
      </w:r>
      <w:r>
        <w:rPr>
          <w:rFonts w:ascii="David" w:hAnsi="David" w:cs="David" w:hint="cs"/>
          <w:sz w:val="24"/>
          <w:szCs w:val="24"/>
          <w:rtl/>
        </w:rPr>
        <w:t xml:space="preserve"> רשאית לקבוע כללים וסייגים אשר יובילו לחריגה ממדיניות זו במקרים ובהם תאגידים כאמור מבצעים שינוי באסטרטגיה העסקית ויציאה מתחום האנרגיה הפוסילית וכן במצבי שוק קיצוניים לרבות בנסיבות של משבר אנרגטי חריף, משברים גיאופוליטיים ותנודתיות חדה במחירי הדלקים והאנרגיה. </w:t>
      </w:r>
    </w:p>
    <w:p w14:paraId="1BAD4A30" w14:textId="77777777" w:rsidR="00F603F7" w:rsidRPr="00344181" w:rsidRDefault="00F603F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ממשל תאגידי</w:t>
      </w:r>
    </w:p>
    <w:p w14:paraId="6203D1ED" w14:textId="3FE9130D" w:rsidR="00B378C7" w:rsidRDefault="00F603F7" w:rsidP="00322E39">
      <w:pPr>
        <w:pStyle w:val="a8"/>
        <w:numPr>
          <w:ilvl w:val="0"/>
          <w:numId w:val="1"/>
        </w:numPr>
        <w:spacing w:line="360" w:lineRule="auto"/>
        <w:jc w:val="both"/>
        <w:rPr>
          <w:rFonts w:ascii="David" w:hAnsi="David" w:cs="David"/>
          <w:sz w:val="24"/>
          <w:szCs w:val="24"/>
        </w:rPr>
      </w:pPr>
      <w:r w:rsidRPr="00344181">
        <w:rPr>
          <w:rFonts w:ascii="David" w:hAnsi="David" w:cs="David"/>
          <w:sz w:val="24"/>
          <w:szCs w:val="24"/>
          <w:rtl/>
        </w:rPr>
        <w:t>לחברה מדיניות סדורה בנושא</w:t>
      </w:r>
      <w:r w:rsidR="00834878">
        <w:rPr>
          <w:rFonts w:ascii="David" w:hAnsi="David" w:cs="David" w:hint="cs"/>
          <w:sz w:val="24"/>
          <w:szCs w:val="24"/>
          <w:rtl/>
        </w:rPr>
        <w:t>,</w:t>
      </w:r>
      <w:r w:rsidRPr="00344181">
        <w:rPr>
          <w:rFonts w:ascii="David" w:hAnsi="David" w:cs="David"/>
          <w:sz w:val="24"/>
          <w:szCs w:val="24"/>
          <w:rtl/>
        </w:rPr>
        <w:t xml:space="preserve"> אשר עיקריה </w:t>
      </w:r>
      <w:r w:rsidR="00834878">
        <w:rPr>
          <w:rFonts w:ascii="David" w:hAnsi="David" w:cs="David" w:hint="cs"/>
          <w:sz w:val="24"/>
          <w:szCs w:val="24"/>
          <w:rtl/>
        </w:rPr>
        <w:t>מפורטים</w:t>
      </w:r>
      <w:r w:rsidRPr="00344181">
        <w:rPr>
          <w:rFonts w:ascii="David" w:hAnsi="David" w:cs="David"/>
          <w:sz w:val="24"/>
          <w:szCs w:val="24"/>
          <w:rtl/>
        </w:rPr>
        <w:t xml:space="preserve"> באתר האינטרנט של החברה, המבוססת על מודל מובנה. </w:t>
      </w:r>
      <w:r w:rsidR="00C55540" w:rsidRPr="00344181">
        <w:rPr>
          <w:rFonts w:ascii="David" w:hAnsi="David" w:cs="David"/>
          <w:sz w:val="24"/>
          <w:szCs w:val="24"/>
          <w:rtl/>
        </w:rPr>
        <w:t xml:space="preserve">ככל ותתקבל החלטה על השקעה בתאגידים אשר ציון הממשל התאגידי שלהם </w:t>
      </w:r>
      <w:r w:rsidRPr="00344181">
        <w:rPr>
          <w:rFonts w:ascii="David" w:hAnsi="David" w:cs="David"/>
          <w:sz w:val="24"/>
          <w:szCs w:val="24"/>
          <w:rtl/>
        </w:rPr>
        <w:t xml:space="preserve">נמוך מהסף אותו קבעה החברה, </w:t>
      </w:r>
      <w:r w:rsidR="00C55540" w:rsidRPr="00344181">
        <w:rPr>
          <w:rFonts w:ascii="David" w:hAnsi="David" w:cs="David"/>
          <w:sz w:val="24"/>
          <w:szCs w:val="24"/>
          <w:rtl/>
        </w:rPr>
        <w:t>יידרש אישור מראש מצד מנהל ההשקעות הראשי לביצוע / המשך ההשקעה</w:t>
      </w:r>
      <w:r w:rsidRPr="00344181">
        <w:rPr>
          <w:rFonts w:ascii="David" w:hAnsi="David" w:cs="David"/>
          <w:sz w:val="24"/>
          <w:szCs w:val="24"/>
          <w:rtl/>
        </w:rPr>
        <w:t xml:space="preserve"> בצ</w:t>
      </w:r>
      <w:r w:rsidR="00834878">
        <w:rPr>
          <w:rFonts w:ascii="David" w:hAnsi="David" w:cs="David" w:hint="cs"/>
          <w:sz w:val="24"/>
          <w:szCs w:val="24"/>
          <w:rtl/>
        </w:rPr>
        <w:t>י</w:t>
      </w:r>
      <w:r w:rsidRPr="00344181">
        <w:rPr>
          <w:rFonts w:ascii="David" w:hAnsi="David" w:cs="David"/>
          <w:sz w:val="24"/>
          <w:szCs w:val="24"/>
          <w:rtl/>
        </w:rPr>
        <w:t>רוף נימוקים ונסיבות מיוחדות לביצוע ההשקעה כאמור</w:t>
      </w:r>
      <w:r w:rsidR="00C55540" w:rsidRPr="00344181">
        <w:rPr>
          <w:rFonts w:ascii="David" w:hAnsi="David" w:cs="David"/>
          <w:sz w:val="24"/>
          <w:szCs w:val="24"/>
          <w:rtl/>
        </w:rPr>
        <w:t>.</w:t>
      </w:r>
    </w:p>
    <w:p w14:paraId="47995DAB" w14:textId="77777777" w:rsidR="00F603F7" w:rsidRPr="00344181" w:rsidRDefault="00F603F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סביבתיים</w:t>
      </w:r>
    </w:p>
    <w:p w14:paraId="61AB4A87" w14:textId="0F477332" w:rsidR="00BA0A3D" w:rsidRDefault="00BA0A3D"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בהשקעה בתאגידים בעלי פוטנציאל להתממשות של סיכוני סביבה</w:t>
      </w:r>
      <w:r w:rsidR="00734748" w:rsidRPr="00344181">
        <w:rPr>
          <w:rFonts w:ascii="David" w:hAnsi="David" w:cs="David"/>
          <w:sz w:val="24"/>
          <w:szCs w:val="24"/>
          <w:rtl/>
        </w:rPr>
        <w:t xml:space="preserve"> ואקלים</w:t>
      </w:r>
      <w:r w:rsidRPr="00344181">
        <w:rPr>
          <w:rFonts w:ascii="David" w:hAnsi="David" w:cs="David"/>
          <w:sz w:val="24"/>
          <w:szCs w:val="24"/>
          <w:rtl/>
        </w:rPr>
        <w:t xml:space="preserve"> </w:t>
      </w:r>
      <w:r w:rsidR="00322E39" w:rsidRPr="00344181">
        <w:rPr>
          <w:rFonts w:ascii="David" w:hAnsi="David" w:cs="David"/>
          <w:sz w:val="24"/>
          <w:szCs w:val="24"/>
          <w:rtl/>
        </w:rPr>
        <w:t>יילקחו</w:t>
      </w:r>
      <w:r w:rsidR="001C7879" w:rsidRPr="00344181">
        <w:rPr>
          <w:rFonts w:ascii="David" w:hAnsi="David" w:cs="David"/>
          <w:sz w:val="24"/>
          <w:szCs w:val="24"/>
          <w:rtl/>
        </w:rPr>
        <w:t xml:space="preserve"> בחשבון במסגרת התמחור של ההשקעה הסיכונים הסביבתיים ו</w:t>
      </w:r>
      <w:r w:rsidRPr="00344181">
        <w:rPr>
          <w:rFonts w:ascii="David" w:hAnsi="David" w:cs="David"/>
          <w:sz w:val="24"/>
          <w:szCs w:val="24"/>
          <w:rtl/>
        </w:rPr>
        <w:t xml:space="preserve">אופן ההתמודדות של התאגיד נשוא ההשקעה מול סיכונים אלו. </w:t>
      </w:r>
    </w:p>
    <w:p w14:paraId="31E21C59" w14:textId="6FBDAEB8" w:rsidR="00C078B7" w:rsidRPr="00344181" w:rsidRDefault="00C078B7"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במסגרת זו ייבחנו סוגיות מימוניות הנוגעות לכושר ההחזר של התאגיד נשוא ההשקעה והפוטנציאל להשתת קנסות, עיצומים, ופסיקת פיצויים בגין הפרות ונזקים סביבתיים לצד </w:t>
      </w:r>
      <w:r>
        <w:rPr>
          <w:rFonts w:ascii="David" w:hAnsi="David" w:cs="David" w:hint="cs"/>
          <w:sz w:val="24"/>
          <w:szCs w:val="24"/>
          <w:rtl/>
        </w:rPr>
        <w:lastRenderedPageBreak/>
        <w:t xml:space="preserve">נגישות למקורות מימון ויכולת למחזר את החוב כתוצאה </w:t>
      </w:r>
      <w:r w:rsidR="009956B0">
        <w:rPr>
          <w:rFonts w:ascii="David" w:hAnsi="David" w:cs="David" w:hint="cs"/>
          <w:sz w:val="24"/>
          <w:szCs w:val="24"/>
          <w:rtl/>
        </w:rPr>
        <w:t>מהתממשות סיכון של הגבלת מימון לתאגידים בעלי פרופיל סיכון סביבתי.</w:t>
      </w:r>
    </w:p>
    <w:p w14:paraId="162141C3" w14:textId="77777777" w:rsidR="009956B0" w:rsidRPr="00C77701" w:rsidRDefault="009956B0" w:rsidP="005A0A30">
      <w:pPr>
        <w:pStyle w:val="a8"/>
        <w:spacing w:line="360" w:lineRule="auto"/>
        <w:ind w:left="714"/>
        <w:contextualSpacing w:val="0"/>
        <w:jc w:val="both"/>
        <w:rPr>
          <w:rFonts w:ascii="David" w:hAnsi="David" w:cs="David"/>
          <w:sz w:val="24"/>
          <w:szCs w:val="24"/>
        </w:rPr>
      </w:pPr>
    </w:p>
    <w:p w14:paraId="1F6ECED9" w14:textId="12D00FE9" w:rsidR="009956B0" w:rsidRPr="003F68B2" w:rsidRDefault="009956B0" w:rsidP="003F68B2">
      <w:pPr>
        <w:spacing w:line="360" w:lineRule="auto"/>
        <w:jc w:val="both"/>
        <w:rPr>
          <w:rFonts w:ascii="David" w:hAnsi="David" w:cs="David"/>
          <w:b/>
          <w:bCs/>
          <w:sz w:val="24"/>
          <w:szCs w:val="24"/>
          <w:u w:val="single"/>
        </w:rPr>
      </w:pPr>
      <w:r w:rsidRPr="003F68B2">
        <w:rPr>
          <w:rFonts w:ascii="David" w:hAnsi="David" w:cs="David" w:hint="eastAsia"/>
          <w:b/>
          <w:bCs/>
          <w:sz w:val="24"/>
          <w:szCs w:val="24"/>
          <w:u w:val="single"/>
          <w:rtl/>
        </w:rPr>
        <w:t>השקעות</w:t>
      </w:r>
      <w:r w:rsidRPr="003F68B2">
        <w:rPr>
          <w:rFonts w:ascii="David" w:hAnsi="David" w:cs="David"/>
          <w:b/>
          <w:bCs/>
          <w:sz w:val="24"/>
          <w:szCs w:val="24"/>
          <w:u w:val="single"/>
          <w:rtl/>
        </w:rPr>
        <w:t xml:space="preserve"> </w:t>
      </w:r>
      <w:r w:rsidRPr="003F68B2">
        <w:rPr>
          <w:rFonts w:ascii="David" w:hAnsi="David" w:cs="David" w:hint="eastAsia"/>
          <w:b/>
          <w:bCs/>
          <w:sz w:val="24"/>
          <w:szCs w:val="24"/>
          <w:u w:val="single"/>
          <w:rtl/>
        </w:rPr>
        <w:t>לא</w:t>
      </w:r>
      <w:r w:rsidRPr="003F68B2">
        <w:rPr>
          <w:rFonts w:ascii="David" w:hAnsi="David" w:cs="David"/>
          <w:b/>
          <w:bCs/>
          <w:sz w:val="24"/>
          <w:szCs w:val="24"/>
          <w:u w:val="single"/>
          <w:rtl/>
        </w:rPr>
        <w:t xml:space="preserve"> </w:t>
      </w:r>
      <w:r w:rsidRPr="003F68B2">
        <w:rPr>
          <w:rFonts w:ascii="David" w:hAnsi="David" w:cs="David" w:hint="eastAsia"/>
          <w:b/>
          <w:bCs/>
          <w:sz w:val="24"/>
          <w:szCs w:val="24"/>
          <w:u w:val="single"/>
          <w:rtl/>
        </w:rPr>
        <w:t>סחירות</w:t>
      </w:r>
    </w:p>
    <w:p w14:paraId="69E08E7F" w14:textId="514E4E08" w:rsidR="00FC2306" w:rsidRDefault="001C7879"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ניתוח של השקעות לא סחירות </w:t>
      </w:r>
      <w:r w:rsidR="00322E39" w:rsidRPr="00344181">
        <w:rPr>
          <w:rFonts w:ascii="David" w:hAnsi="David" w:cs="David"/>
          <w:sz w:val="24"/>
          <w:szCs w:val="24"/>
          <w:rtl/>
        </w:rPr>
        <w:t xml:space="preserve">יפורטו במסגרת עבודות האנליזה גורמי הסיכון </w:t>
      </w:r>
      <w:r w:rsidR="006208B3">
        <w:rPr>
          <w:rFonts w:ascii="David" w:hAnsi="David" w:cs="David" w:hint="cs"/>
          <w:sz w:val="24"/>
          <w:szCs w:val="24"/>
          <w:rtl/>
        </w:rPr>
        <w:t xml:space="preserve">סביבתיים או אקלימיים </w:t>
      </w:r>
      <w:r w:rsidRPr="00344181">
        <w:rPr>
          <w:rFonts w:ascii="David" w:hAnsi="David" w:cs="David"/>
          <w:sz w:val="24"/>
          <w:szCs w:val="24"/>
          <w:rtl/>
        </w:rPr>
        <w:t>והשפעתם על התאגיד נשוא ההשקעה</w:t>
      </w:r>
      <w:r w:rsidR="006208B3">
        <w:rPr>
          <w:rFonts w:ascii="David" w:hAnsi="David" w:cs="David" w:hint="cs"/>
          <w:sz w:val="24"/>
          <w:szCs w:val="24"/>
          <w:rtl/>
        </w:rPr>
        <w:t xml:space="preserve"> (לרבות בכל הנוגע למקורות המימון שלו בעתיד, היבטים רגולטוריים ומשפטיים והיבטים בתחום המוניטין)</w:t>
      </w:r>
      <w:r w:rsidRPr="00344181">
        <w:rPr>
          <w:rFonts w:ascii="David" w:hAnsi="David" w:cs="David"/>
          <w:sz w:val="24"/>
          <w:szCs w:val="24"/>
          <w:rtl/>
        </w:rPr>
        <w:t>.</w:t>
      </w:r>
      <w:r w:rsidR="00FC2306">
        <w:rPr>
          <w:rFonts w:ascii="David" w:hAnsi="David" w:cs="David" w:hint="cs"/>
          <w:sz w:val="24"/>
          <w:szCs w:val="24"/>
          <w:rtl/>
        </w:rPr>
        <w:t xml:space="preserve"> ברמה המעשית, החברה ת</w:t>
      </w:r>
      <w:r w:rsidR="009956B0">
        <w:rPr>
          <w:rFonts w:ascii="David" w:hAnsi="David" w:cs="David" w:hint="cs"/>
          <w:sz w:val="24"/>
          <w:szCs w:val="24"/>
          <w:rtl/>
        </w:rPr>
        <w:t>י</w:t>
      </w:r>
      <w:r w:rsidR="00FC2306">
        <w:rPr>
          <w:rFonts w:ascii="David" w:hAnsi="David" w:cs="David" w:hint="cs"/>
          <w:sz w:val="24"/>
          <w:szCs w:val="24"/>
          <w:rtl/>
        </w:rPr>
        <w:t xml:space="preserve">עזר בשאלוני </w:t>
      </w:r>
      <w:r w:rsidR="00FC2306">
        <w:rPr>
          <w:rFonts w:ascii="David" w:hAnsi="David" w:cs="David" w:hint="cs"/>
          <w:sz w:val="24"/>
          <w:szCs w:val="24"/>
        </w:rPr>
        <w:t xml:space="preserve">ESG </w:t>
      </w:r>
      <w:r w:rsidR="00FC2306">
        <w:rPr>
          <w:rFonts w:ascii="David" w:hAnsi="David" w:cs="David" w:hint="cs"/>
          <w:sz w:val="24"/>
          <w:szCs w:val="24"/>
          <w:rtl/>
        </w:rPr>
        <w:t xml:space="preserve"> ייעודים לעסקאות לא סחירות. מובהר כי החברה רשאית לערוך שינויים בשאלונים אלו ו/או לתת דגש להיבטים מסוימים בשאלונים כאמור, בהתאם לנסיבות הפרטניות של כל עסקה. </w:t>
      </w:r>
    </w:p>
    <w:p w14:paraId="10B35EE3" w14:textId="77777777" w:rsidR="00734748" w:rsidRPr="00344181" w:rsidRDefault="00734748"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חברתיים</w:t>
      </w:r>
    </w:p>
    <w:p w14:paraId="4C4BEBCD" w14:textId="77777777" w:rsidR="00CD3FE7" w:rsidRPr="00344181" w:rsidRDefault="00CD3FE7" w:rsidP="006208B3">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החברה תימנע מביצוע השקעות במדינות שלגביהן חל איסור לבצע השקעה ו/או במדינות אשר מופעלות לגביהן סנקציות על ידי מוסדות בינלאומיים.</w:t>
      </w:r>
    </w:p>
    <w:p w14:paraId="17A2004D" w14:textId="77777777" w:rsidR="00322E39" w:rsidRPr="00344181" w:rsidRDefault="00CD3FE7" w:rsidP="006208B3">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ביצוע עסקאות לא סחירות, לא יבוצעו התקשרויות מול בעלי שליטה אשר הורשעו ברף </w:t>
      </w:r>
      <w:r w:rsidR="005425AA">
        <w:rPr>
          <w:rFonts w:ascii="David" w:hAnsi="David" w:cs="David" w:hint="cs"/>
          <w:sz w:val="24"/>
          <w:szCs w:val="24"/>
          <w:rtl/>
        </w:rPr>
        <w:t>העליו</w:t>
      </w:r>
      <w:r w:rsidR="00DD7079">
        <w:rPr>
          <w:rFonts w:ascii="David" w:hAnsi="David" w:cs="David" w:hint="cs"/>
          <w:sz w:val="24"/>
          <w:szCs w:val="24"/>
          <w:rtl/>
        </w:rPr>
        <w:t>ן</w:t>
      </w:r>
      <w:r w:rsidRPr="00344181">
        <w:rPr>
          <w:rFonts w:ascii="David" w:hAnsi="David" w:cs="David"/>
          <w:sz w:val="24"/>
          <w:szCs w:val="24"/>
          <w:rtl/>
        </w:rPr>
        <w:t xml:space="preserve"> של עבירות פליליות הנוגעות, בין היתר, לסחר בבני אדם, סמים, הברחות חומרים מסוכנים, סחר עם מדינות אויב וכיו"ב. </w:t>
      </w:r>
    </w:p>
    <w:p w14:paraId="3CF241DF" w14:textId="15177985" w:rsidR="005A3BA7" w:rsidRDefault="00CD3FE7"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תהליך בחינת ההשקעות, תיבחן האפשרות לשלב השקעות </w:t>
      </w:r>
      <w:r w:rsidRPr="00344181">
        <w:rPr>
          <w:rFonts w:ascii="David" w:hAnsi="David" w:cs="David"/>
          <w:sz w:val="24"/>
          <w:szCs w:val="24"/>
        </w:rPr>
        <w:t>Impact</w:t>
      </w:r>
      <w:r w:rsidR="009C1F6F">
        <w:rPr>
          <w:rStyle w:val="ab"/>
          <w:rFonts w:ascii="David" w:hAnsi="David" w:cs="David"/>
          <w:sz w:val="24"/>
          <w:szCs w:val="24"/>
          <w:rtl/>
        </w:rPr>
        <w:footnoteReference w:id="3"/>
      </w:r>
      <w:r w:rsidRPr="00344181">
        <w:rPr>
          <w:rFonts w:ascii="David" w:hAnsi="David" w:cs="David"/>
          <w:sz w:val="24"/>
          <w:szCs w:val="24"/>
          <w:rtl/>
        </w:rPr>
        <w:t xml:space="preserve"> בשים לב למאפיינים הפרטניים של כל השקעה, והתאמת ההשקעה לפרמטרים הקבועים במדיניות החברה להשקעה בקרנות השקעה (בהיבטים של תשואה, חשיפה לענפים ולגיאוגרפיות ורמת סיכון)</w:t>
      </w:r>
      <w:r w:rsidR="00DD7079">
        <w:rPr>
          <w:rFonts w:ascii="David" w:hAnsi="David" w:cs="David" w:hint="cs"/>
          <w:sz w:val="24"/>
          <w:szCs w:val="24"/>
          <w:rtl/>
        </w:rPr>
        <w:t xml:space="preserve"> וכן יינתן </w:t>
      </w:r>
      <w:r w:rsidR="005A3BA7" w:rsidRPr="00DD7079">
        <w:rPr>
          <w:rFonts w:ascii="David" w:hAnsi="David" w:cs="David" w:hint="cs"/>
          <w:sz w:val="24"/>
          <w:szCs w:val="24"/>
          <w:rtl/>
        </w:rPr>
        <w:t xml:space="preserve">משקל יתר </w:t>
      </w:r>
      <w:r w:rsidR="005A3BA7" w:rsidRPr="00DD7079">
        <w:rPr>
          <w:rFonts w:ascii="David" w:hAnsi="David" w:cs="David"/>
          <w:sz w:val="24"/>
          <w:szCs w:val="24"/>
          <w:rtl/>
        </w:rPr>
        <w:t>לתאגידים שיבחרו ליישם גישה קשובה ופומבית שבמסגרתה החתירה לרווחיות פיננסית של התאגיד שזורה בחתירה להשאת ערך עבור יתר מחזיקי העניין (לרבות בעלי מניות מיעוט, נושים, עובדים, לקוחות, ספקים וקהילה).</w:t>
      </w:r>
      <w:r w:rsidR="00C078B7">
        <w:rPr>
          <w:rFonts w:ascii="David" w:hAnsi="David" w:cs="David" w:hint="cs"/>
          <w:sz w:val="24"/>
          <w:szCs w:val="24"/>
          <w:rtl/>
        </w:rPr>
        <w:t xml:space="preserve"> זאת ועוד ככל ומדובר בהשקעות בחברות סחירות שלגביהן מתקבלת סקירה אנליטית מהספק, עבודת המחקר ממפה את מקורות ההכנסה ממוצרים ושירותים ברי קיימא על פי הקריטריונים שנקבעו על ידי ארגון האומות המאוחדות ("</w:t>
      </w:r>
      <w:r w:rsidR="00C078B7">
        <w:rPr>
          <w:rFonts w:ascii="David" w:hAnsi="David" w:cs="David" w:hint="cs"/>
          <w:sz w:val="24"/>
          <w:szCs w:val="24"/>
        </w:rPr>
        <w:t>SDG</w:t>
      </w:r>
      <w:r w:rsidR="00C078B7">
        <w:rPr>
          <w:rFonts w:ascii="David" w:hAnsi="David" w:cs="David" w:hint="cs"/>
          <w:sz w:val="24"/>
          <w:szCs w:val="24"/>
          <w:rtl/>
        </w:rPr>
        <w:t xml:space="preserve">"). </w:t>
      </w:r>
    </w:p>
    <w:p w14:paraId="34D5CED2" w14:textId="77777777" w:rsidR="00CD3FE7" w:rsidRPr="00344181" w:rsidRDefault="00CD3FE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 xml:space="preserve">הכשרה ופיתוח מומחיות  </w:t>
      </w:r>
    </w:p>
    <w:p w14:paraId="096C1AB8" w14:textId="60A39099" w:rsidR="00B378C7" w:rsidRDefault="005D58A2"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על מנת לפתח את המודעות והמומחיות בנושא, עובדי מערך ההשקעות והמחקר ישתתפו בהשתלמויות, הרצאות והעשרות בנושאי השקעות אחראיו</w:t>
      </w:r>
      <w:r w:rsidR="00C6767D">
        <w:rPr>
          <w:rFonts w:ascii="David" w:hAnsi="David" w:cs="David" w:hint="cs"/>
          <w:sz w:val="24"/>
          <w:szCs w:val="24"/>
          <w:rtl/>
        </w:rPr>
        <w:t>ת.</w:t>
      </w:r>
    </w:p>
    <w:p w14:paraId="7DEF2222" w14:textId="59FD6969" w:rsidR="009C1F6F" w:rsidRDefault="009C1F6F" w:rsidP="009C1F6F">
      <w:pPr>
        <w:pStyle w:val="a8"/>
        <w:spacing w:line="360" w:lineRule="auto"/>
        <w:ind w:left="714"/>
        <w:contextualSpacing w:val="0"/>
        <w:jc w:val="both"/>
        <w:rPr>
          <w:rFonts w:ascii="David" w:hAnsi="David" w:cs="David"/>
          <w:sz w:val="24"/>
          <w:szCs w:val="24"/>
          <w:rtl/>
        </w:rPr>
      </w:pPr>
    </w:p>
    <w:p w14:paraId="69C1D31C" w14:textId="4BCCBD93" w:rsidR="009C1F6F" w:rsidRDefault="009C1F6F" w:rsidP="009C1F6F">
      <w:pPr>
        <w:pStyle w:val="a8"/>
        <w:spacing w:line="360" w:lineRule="auto"/>
        <w:ind w:left="714"/>
        <w:contextualSpacing w:val="0"/>
        <w:jc w:val="both"/>
        <w:rPr>
          <w:rFonts w:ascii="David" w:hAnsi="David" w:cs="David"/>
          <w:sz w:val="24"/>
          <w:szCs w:val="24"/>
          <w:rtl/>
        </w:rPr>
      </w:pPr>
    </w:p>
    <w:p w14:paraId="08919988" w14:textId="54BBA3D0" w:rsidR="009C1F6F" w:rsidRDefault="009C1F6F" w:rsidP="009C1F6F">
      <w:pPr>
        <w:pStyle w:val="a8"/>
        <w:spacing w:line="360" w:lineRule="auto"/>
        <w:ind w:left="714"/>
        <w:contextualSpacing w:val="0"/>
        <w:jc w:val="both"/>
        <w:rPr>
          <w:rFonts w:ascii="David" w:hAnsi="David" w:cs="David"/>
          <w:sz w:val="24"/>
          <w:szCs w:val="24"/>
          <w:rtl/>
        </w:rPr>
      </w:pPr>
    </w:p>
    <w:p w14:paraId="3D883F40" w14:textId="2EEF482D" w:rsidR="009C1F6F" w:rsidRDefault="009C1F6F" w:rsidP="009C1F6F">
      <w:pPr>
        <w:pStyle w:val="a8"/>
        <w:spacing w:line="360" w:lineRule="auto"/>
        <w:ind w:left="714"/>
        <w:contextualSpacing w:val="0"/>
        <w:jc w:val="both"/>
        <w:rPr>
          <w:rFonts w:ascii="David" w:hAnsi="David" w:cs="David"/>
          <w:sz w:val="24"/>
          <w:szCs w:val="24"/>
          <w:rtl/>
        </w:rPr>
      </w:pPr>
    </w:p>
    <w:p w14:paraId="2CB0BC97" w14:textId="77777777" w:rsidR="009C1F6F" w:rsidRPr="00344181" w:rsidRDefault="009C1F6F" w:rsidP="009C1F6F">
      <w:pPr>
        <w:pStyle w:val="a8"/>
        <w:spacing w:line="360" w:lineRule="auto"/>
        <w:ind w:left="714"/>
        <w:contextualSpacing w:val="0"/>
        <w:jc w:val="both"/>
        <w:rPr>
          <w:rFonts w:ascii="David" w:hAnsi="David" w:cs="David"/>
          <w:sz w:val="24"/>
          <w:szCs w:val="24"/>
        </w:rPr>
      </w:pPr>
    </w:p>
    <w:p w14:paraId="1349C2D0" w14:textId="77777777" w:rsidR="00C6767D" w:rsidRDefault="00C6767D" w:rsidP="00322E39">
      <w:pPr>
        <w:spacing w:line="360" w:lineRule="auto"/>
        <w:jc w:val="both"/>
        <w:rPr>
          <w:rFonts w:ascii="David" w:hAnsi="David" w:cs="David"/>
          <w:b/>
          <w:bCs/>
          <w:sz w:val="24"/>
          <w:szCs w:val="24"/>
          <w:u w:val="single"/>
          <w:rtl/>
        </w:rPr>
      </w:pPr>
      <w:r>
        <w:rPr>
          <w:rFonts w:ascii="David" w:hAnsi="David" w:cs="David" w:hint="cs"/>
          <w:b/>
          <w:bCs/>
          <w:sz w:val="24"/>
          <w:szCs w:val="24"/>
          <w:u w:val="single"/>
          <w:rtl/>
        </w:rPr>
        <w:t>מניעת ניגודי עניינים</w:t>
      </w:r>
    </w:p>
    <w:p w14:paraId="009DCFF6" w14:textId="51C8064A" w:rsidR="00D3721F" w:rsidRDefault="00C6767D" w:rsidP="003F68B2">
      <w:pPr>
        <w:pStyle w:val="a8"/>
        <w:numPr>
          <w:ilvl w:val="0"/>
          <w:numId w:val="1"/>
        </w:numPr>
        <w:spacing w:line="360" w:lineRule="auto"/>
        <w:ind w:left="714" w:hanging="357"/>
        <w:contextualSpacing w:val="0"/>
        <w:jc w:val="both"/>
        <w:rPr>
          <w:rFonts w:ascii="David" w:hAnsi="David" w:cs="David"/>
          <w:sz w:val="24"/>
          <w:szCs w:val="24"/>
        </w:rPr>
      </w:pPr>
      <w:r w:rsidRPr="00D3721F">
        <w:rPr>
          <w:rFonts w:ascii="David" w:hAnsi="David" w:cs="David" w:hint="cs"/>
          <w:sz w:val="24"/>
          <w:szCs w:val="24"/>
          <w:rtl/>
        </w:rPr>
        <w:t xml:space="preserve">על מנת להבטיח פוטנציאל להתקיימותם של ניגודי עניינים מצד </w:t>
      </w:r>
      <w:r w:rsidR="00256C97" w:rsidRPr="00D3721F">
        <w:rPr>
          <w:rFonts w:ascii="David" w:hAnsi="David" w:cs="David" w:hint="cs"/>
          <w:sz w:val="24"/>
          <w:szCs w:val="24"/>
          <w:rtl/>
        </w:rPr>
        <w:t xml:space="preserve">הספק החיצוני, החברה </w:t>
      </w:r>
      <w:r w:rsidR="00A414AF">
        <w:rPr>
          <w:rFonts w:ascii="David" w:hAnsi="David" w:cs="David" w:hint="cs"/>
          <w:sz w:val="24"/>
          <w:szCs w:val="24"/>
          <w:rtl/>
        </w:rPr>
        <w:t xml:space="preserve">(באמצעות מנהל ההשקעות) </w:t>
      </w:r>
      <w:r w:rsidR="00256C97" w:rsidRPr="00D3721F">
        <w:rPr>
          <w:rFonts w:ascii="David" w:hAnsi="David" w:cs="David" w:hint="cs"/>
          <w:sz w:val="24"/>
          <w:szCs w:val="24"/>
          <w:rtl/>
        </w:rPr>
        <w:t>מצאה לנכון ל</w:t>
      </w:r>
      <w:r w:rsidR="00694115" w:rsidRPr="00D3721F">
        <w:rPr>
          <w:rFonts w:ascii="David" w:hAnsi="David" w:cs="David" w:hint="cs"/>
          <w:sz w:val="24"/>
          <w:szCs w:val="24"/>
          <w:rtl/>
        </w:rPr>
        <w:t xml:space="preserve">התקשר עם </w:t>
      </w:r>
      <w:r w:rsidR="00FC2306" w:rsidRPr="00D3721F">
        <w:rPr>
          <w:rFonts w:ascii="David" w:hAnsi="David" w:cs="David" w:hint="cs"/>
          <w:sz w:val="24"/>
          <w:szCs w:val="24"/>
          <w:rtl/>
        </w:rPr>
        <w:t>ספק  (חברת מחקר),</w:t>
      </w:r>
      <w:r w:rsidR="00694115" w:rsidRPr="00D3721F">
        <w:rPr>
          <w:rFonts w:ascii="David" w:hAnsi="David" w:cs="David" w:hint="cs"/>
          <w:sz w:val="24"/>
          <w:szCs w:val="24"/>
          <w:rtl/>
        </w:rPr>
        <w:t xml:space="preserve">  אשר אינה נותנת יעוץ </w:t>
      </w:r>
      <w:r w:rsidR="00694115" w:rsidRPr="00D3721F">
        <w:rPr>
          <w:rFonts w:ascii="David" w:hAnsi="David" w:cs="David" w:hint="cs"/>
          <w:sz w:val="24"/>
          <w:szCs w:val="24"/>
        </w:rPr>
        <w:t>ESG</w:t>
      </w:r>
      <w:r w:rsidR="00694115" w:rsidRPr="00D3721F">
        <w:rPr>
          <w:rFonts w:ascii="David" w:hAnsi="David" w:cs="David" w:hint="cs"/>
          <w:sz w:val="24"/>
          <w:szCs w:val="24"/>
          <w:rtl/>
        </w:rPr>
        <w:t xml:space="preserve"> לחברות</w:t>
      </w:r>
      <w:r w:rsidR="00694115" w:rsidRPr="00694115">
        <w:rPr>
          <w:rFonts w:ascii="David" w:hAnsi="David" w:cs="David" w:hint="cs"/>
          <w:sz w:val="24"/>
          <w:szCs w:val="24"/>
          <w:rtl/>
        </w:rPr>
        <w:t xml:space="preserve"> ציבוריות ובכך לא נמצאת בניגוד עניינים</w:t>
      </w:r>
      <w:r w:rsidR="00FC2306">
        <w:rPr>
          <w:rFonts w:ascii="David" w:hAnsi="David" w:cs="David" w:hint="cs"/>
          <w:sz w:val="24"/>
          <w:szCs w:val="24"/>
          <w:rtl/>
        </w:rPr>
        <w:t>. מבלי לגרוע מכלליות האמור, תניות והצהרות חוזיות בדבר הימנעות מניגודי עניינים פוטנציאליים מעוגנים בהסכם ההתקשרות עם הספק החיצוני</w:t>
      </w:r>
      <w:r w:rsidR="00C77701">
        <w:rPr>
          <w:rFonts w:ascii="David" w:hAnsi="David" w:cs="David" w:hint="cs"/>
          <w:sz w:val="24"/>
          <w:szCs w:val="24"/>
          <w:rtl/>
        </w:rPr>
        <w:t>.</w:t>
      </w:r>
      <w:r w:rsidR="00FC2306">
        <w:rPr>
          <w:rFonts w:ascii="David" w:hAnsi="David" w:cs="David" w:hint="cs"/>
          <w:sz w:val="24"/>
          <w:szCs w:val="24"/>
          <w:rtl/>
        </w:rPr>
        <w:t xml:space="preserve"> </w:t>
      </w:r>
      <w:r w:rsidR="00694115" w:rsidRPr="00694115">
        <w:rPr>
          <w:rFonts w:ascii="David" w:hAnsi="David" w:cs="David" w:hint="cs"/>
          <w:sz w:val="24"/>
          <w:szCs w:val="24"/>
          <w:rtl/>
        </w:rPr>
        <w:t xml:space="preserve"> </w:t>
      </w:r>
    </w:p>
    <w:p w14:paraId="101AF03A" w14:textId="77777777" w:rsidR="00D3721F" w:rsidRPr="00D3721F" w:rsidRDefault="00D3721F" w:rsidP="00D3721F">
      <w:pPr>
        <w:pStyle w:val="a8"/>
        <w:spacing w:line="360" w:lineRule="auto"/>
        <w:ind w:left="714"/>
        <w:contextualSpacing w:val="0"/>
        <w:jc w:val="both"/>
        <w:rPr>
          <w:rFonts w:ascii="David" w:hAnsi="David" w:cs="David"/>
          <w:sz w:val="24"/>
          <w:szCs w:val="24"/>
        </w:rPr>
      </w:pPr>
    </w:p>
    <w:p w14:paraId="557AB7F3" w14:textId="7EAE5272" w:rsidR="00354083" w:rsidRPr="00694115" w:rsidRDefault="00354083" w:rsidP="005A0A30">
      <w:pPr>
        <w:spacing w:line="360" w:lineRule="auto"/>
        <w:jc w:val="both"/>
        <w:rPr>
          <w:rFonts w:ascii="David" w:hAnsi="David" w:cs="David"/>
          <w:b/>
          <w:bCs/>
          <w:sz w:val="24"/>
          <w:szCs w:val="24"/>
          <w:u w:val="single"/>
          <w:rtl/>
        </w:rPr>
      </w:pPr>
      <w:r w:rsidRPr="00694115">
        <w:rPr>
          <w:rFonts w:ascii="David" w:hAnsi="David" w:cs="David"/>
          <w:b/>
          <w:bCs/>
          <w:sz w:val="24"/>
          <w:szCs w:val="24"/>
          <w:u w:val="single"/>
          <w:rtl/>
        </w:rPr>
        <w:t>תחולה ובחינה חוזרת</w:t>
      </w:r>
    </w:p>
    <w:p w14:paraId="5FEFC196" w14:textId="01A61882" w:rsidR="00D66B96" w:rsidRPr="00D66B96"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מדיניות זו תקפה להשקעות ישירות חדשות המבוצעות על ידי החברה ואינה מתייחסת להשקעות במוצרי מדדים</w:t>
      </w:r>
      <w:r w:rsidR="00C078B7">
        <w:rPr>
          <w:rFonts w:ascii="David" w:hAnsi="David" w:cs="David" w:hint="cs"/>
          <w:sz w:val="24"/>
          <w:szCs w:val="24"/>
          <w:rtl/>
        </w:rPr>
        <w:t xml:space="preserve"> </w:t>
      </w:r>
      <w:r w:rsidR="00C77701">
        <w:rPr>
          <w:rFonts w:ascii="David" w:hAnsi="David" w:cs="David" w:hint="cs"/>
          <w:sz w:val="24"/>
          <w:szCs w:val="24"/>
          <w:rtl/>
        </w:rPr>
        <w:t>ו</w:t>
      </w:r>
      <w:r w:rsidR="00C078B7">
        <w:rPr>
          <w:rFonts w:ascii="David" w:hAnsi="David" w:cs="David" w:hint="cs"/>
          <w:sz w:val="24"/>
          <w:szCs w:val="24"/>
          <w:rtl/>
        </w:rPr>
        <w:t>מנהלי תיקים חיצוניים</w:t>
      </w:r>
      <w:r w:rsidRPr="00344181">
        <w:rPr>
          <w:rFonts w:ascii="David" w:hAnsi="David" w:cs="David"/>
          <w:sz w:val="24"/>
          <w:szCs w:val="24"/>
          <w:rtl/>
        </w:rPr>
        <w:t xml:space="preserve">. </w:t>
      </w:r>
    </w:p>
    <w:p w14:paraId="0BE28F4E" w14:textId="77777777" w:rsidR="007F5854" w:rsidRPr="00D66B96"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w:t>
      </w:r>
      <w:r w:rsidR="00DD7079">
        <w:rPr>
          <w:rFonts w:ascii="David" w:hAnsi="David" w:cs="David" w:hint="cs"/>
          <w:sz w:val="24"/>
          <w:szCs w:val="24"/>
          <w:rtl/>
        </w:rPr>
        <w:t>תבחן</w:t>
      </w:r>
      <w:r w:rsidRPr="00344181">
        <w:rPr>
          <w:rFonts w:ascii="David" w:hAnsi="David" w:cs="David"/>
          <w:sz w:val="24"/>
          <w:szCs w:val="24"/>
          <w:rtl/>
        </w:rPr>
        <w:t xml:space="preserve"> את מדיניותה בקשר עם אופן היישום של שיקולי </w:t>
      </w:r>
      <w:r w:rsidRPr="00344181">
        <w:rPr>
          <w:rFonts w:ascii="David" w:hAnsi="David" w:cs="David"/>
          <w:sz w:val="24"/>
          <w:szCs w:val="24"/>
        </w:rPr>
        <w:t>ESG</w:t>
      </w:r>
      <w:r w:rsidRPr="00344181">
        <w:rPr>
          <w:rFonts w:ascii="David" w:hAnsi="David" w:cs="David"/>
          <w:sz w:val="24"/>
          <w:szCs w:val="24"/>
          <w:rtl/>
        </w:rPr>
        <w:t xml:space="preserve"> מדי שנה, במסגרת הדיון על גיבוש מדיניות ההשקעות השנתית של החברה.  </w:t>
      </w:r>
    </w:p>
    <w:p w14:paraId="0DA067D3" w14:textId="0E23EC35" w:rsidR="00F4503E"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עיקרי השיקולים כאמור, יפורסמו במסגרת הצהרת המדיניות השנתית של </w:t>
      </w:r>
      <w:r w:rsidR="00C77701">
        <w:rPr>
          <w:rFonts w:ascii="David" w:hAnsi="David" w:cs="David" w:hint="cs"/>
          <w:sz w:val="24"/>
          <w:szCs w:val="24"/>
          <w:rtl/>
        </w:rPr>
        <w:t>החברה</w:t>
      </w:r>
      <w:r w:rsidRPr="00344181">
        <w:rPr>
          <w:rFonts w:ascii="David" w:hAnsi="David" w:cs="David"/>
          <w:sz w:val="24"/>
          <w:szCs w:val="24"/>
          <w:rtl/>
        </w:rPr>
        <w:t xml:space="preserve"> באתר האינטרנט </w:t>
      </w:r>
      <w:r w:rsidR="00C77701">
        <w:rPr>
          <w:rFonts w:ascii="David" w:hAnsi="David" w:cs="David" w:hint="cs"/>
          <w:sz w:val="24"/>
          <w:szCs w:val="24"/>
          <w:rtl/>
        </w:rPr>
        <w:t>ובד</w:t>
      </w:r>
      <w:r w:rsidR="00532FCC">
        <w:rPr>
          <w:rFonts w:ascii="David" w:hAnsi="David" w:cs="David" w:hint="cs"/>
          <w:sz w:val="24"/>
          <w:szCs w:val="24"/>
          <w:rtl/>
        </w:rPr>
        <w:t>י</w:t>
      </w:r>
      <w:r w:rsidR="003B146F">
        <w:rPr>
          <w:rFonts w:ascii="David" w:hAnsi="David" w:cs="David" w:hint="cs"/>
          <w:sz w:val="24"/>
          <w:szCs w:val="24"/>
          <w:rtl/>
        </w:rPr>
        <w:t>ווחים התקופתיים</w:t>
      </w:r>
      <w:r w:rsidRPr="00344181">
        <w:rPr>
          <w:rFonts w:ascii="David" w:hAnsi="David" w:cs="David"/>
          <w:sz w:val="24"/>
          <w:szCs w:val="24"/>
          <w:rtl/>
        </w:rPr>
        <w:t xml:space="preserve"> לציבור העמיתים</w:t>
      </w:r>
      <w:r w:rsidR="003B146F">
        <w:rPr>
          <w:rFonts w:ascii="David" w:hAnsi="David" w:cs="David" w:hint="cs"/>
          <w:sz w:val="24"/>
          <w:szCs w:val="24"/>
          <w:rtl/>
        </w:rPr>
        <w:t>, בכפוף להוראות הדין</w:t>
      </w:r>
      <w:r w:rsidRPr="00344181">
        <w:rPr>
          <w:rFonts w:ascii="David" w:hAnsi="David" w:cs="David"/>
          <w:sz w:val="24"/>
          <w:szCs w:val="24"/>
          <w:rtl/>
        </w:rPr>
        <w:t xml:space="preserve">. </w:t>
      </w:r>
    </w:p>
    <w:p w14:paraId="37DEC77B" w14:textId="371139BB" w:rsidR="00D3721F" w:rsidRDefault="00D3721F" w:rsidP="00D3721F">
      <w:pPr>
        <w:spacing w:line="360" w:lineRule="auto"/>
        <w:ind w:left="357"/>
        <w:jc w:val="both"/>
        <w:rPr>
          <w:rFonts w:ascii="David" w:hAnsi="David" w:cs="David"/>
          <w:sz w:val="24"/>
          <w:szCs w:val="24"/>
          <w:rtl/>
        </w:rPr>
      </w:pPr>
    </w:p>
    <w:p w14:paraId="2AE088B6" w14:textId="02E9766D" w:rsidR="00D3721F" w:rsidRDefault="00D3721F" w:rsidP="00D3721F">
      <w:pPr>
        <w:spacing w:line="360" w:lineRule="auto"/>
        <w:ind w:left="357"/>
        <w:jc w:val="both"/>
        <w:rPr>
          <w:rFonts w:ascii="David" w:hAnsi="David" w:cs="David"/>
          <w:sz w:val="24"/>
          <w:szCs w:val="24"/>
          <w:rtl/>
        </w:rPr>
      </w:pPr>
    </w:p>
    <w:p w14:paraId="5170F1F0" w14:textId="74FE62D2" w:rsidR="00D3721F" w:rsidRDefault="00D3721F" w:rsidP="00D3721F">
      <w:pPr>
        <w:spacing w:line="360" w:lineRule="auto"/>
        <w:ind w:left="357"/>
        <w:jc w:val="both"/>
        <w:rPr>
          <w:rFonts w:ascii="David" w:hAnsi="David" w:cs="David"/>
          <w:sz w:val="24"/>
          <w:szCs w:val="24"/>
          <w:rtl/>
        </w:rPr>
      </w:pPr>
    </w:p>
    <w:p w14:paraId="5E2212F0" w14:textId="5C3D7CBE" w:rsidR="00D3721F" w:rsidRDefault="00D3721F" w:rsidP="00D3721F">
      <w:pPr>
        <w:spacing w:line="360" w:lineRule="auto"/>
        <w:ind w:left="357"/>
        <w:jc w:val="both"/>
        <w:rPr>
          <w:rFonts w:ascii="David" w:hAnsi="David" w:cs="David"/>
          <w:sz w:val="24"/>
          <w:szCs w:val="24"/>
          <w:rtl/>
        </w:rPr>
      </w:pPr>
    </w:p>
    <w:p w14:paraId="3DE77305" w14:textId="7982D31C" w:rsidR="00D3721F" w:rsidRPr="00E00C02" w:rsidRDefault="00D3721F" w:rsidP="00D3721F">
      <w:pPr>
        <w:spacing w:line="360" w:lineRule="auto"/>
        <w:ind w:left="357"/>
        <w:jc w:val="both"/>
        <w:rPr>
          <w:rFonts w:ascii="David" w:hAnsi="David" w:cs="David"/>
          <w:color w:val="2F5496" w:themeColor="accent1" w:themeShade="BF"/>
          <w:sz w:val="24"/>
          <w:szCs w:val="24"/>
          <w:rtl/>
        </w:rPr>
      </w:pPr>
      <w:r w:rsidRPr="00E00C02">
        <w:rPr>
          <w:rFonts w:ascii="David" w:hAnsi="David" w:cs="David" w:hint="cs"/>
          <w:color w:val="2F5496" w:themeColor="accent1" w:themeShade="BF"/>
          <w:sz w:val="24"/>
          <w:szCs w:val="24"/>
          <w:rtl/>
        </w:rPr>
        <w:t>המדיניות אושר</w:t>
      </w:r>
      <w:r w:rsidR="005A0A30">
        <w:rPr>
          <w:rFonts w:ascii="David" w:hAnsi="David" w:cs="David" w:hint="cs"/>
          <w:color w:val="2F5496" w:themeColor="accent1" w:themeShade="BF"/>
          <w:sz w:val="24"/>
          <w:szCs w:val="24"/>
          <w:rtl/>
        </w:rPr>
        <w:t>ה</w:t>
      </w:r>
      <w:r w:rsidRPr="00E00C02">
        <w:rPr>
          <w:rFonts w:ascii="David" w:hAnsi="David" w:cs="David" w:hint="cs"/>
          <w:color w:val="2F5496" w:themeColor="accent1" w:themeShade="BF"/>
          <w:sz w:val="24"/>
          <w:szCs w:val="24"/>
          <w:rtl/>
        </w:rPr>
        <w:t xml:space="preserve"> </w:t>
      </w:r>
      <w:r w:rsidR="00E50E51">
        <w:rPr>
          <w:rFonts w:ascii="David" w:hAnsi="David" w:cs="David" w:hint="cs"/>
          <w:color w:val="2F5496" w:themeColor="accent1" w:themeShade="BF"/>
          <w:sz w:val="24"/>
          <w:szCs w:val="24"/>
          <w:rtl/>
        </w:rPr>
        <w:t>בדירקטוריון מיום 14.12.22</w:t>
      </w:r>
      <w:r w:rsidR="00142EE1">
        <w:rPr>
          <w:rFonts w:ascii="David" w:hAnsi="David" w:cs="David" w:hint="cs"/>
          <w:color w:val="2F5496" w:themeColor="accent1" w:themeShade="BF"/>
          <w:sz w:val="24"/>
          <w:szCs w:val="24"/>
          <w:rtl/>
        </w:rPr>
        <w:t>.</w:t>
      </w:r>
    </w:p>
    <w:p w14:paraId="5DBBBDE0" w14:textId="77777777" w:rsidR="00B15307" w:rsidRPr="00344181" w:rsidRDefault="00B15307">
      <w:pPr>
        <w:rPr>
          <w:rFonts w:ascii="David" w:hAnsi="David" w:cs="David"/>
          <w:sz w:val="24"/>
          <w:szCs w:val="24"/>
          <w:rtl/>
        </w:rPr>
      </w:pPr>
    </w:p>
    <w:p w14:paraId="06702B5F" w14:textId="77777777" w:rsidR="00354083" w:rsidRPr="00344181" w:rsidRDefault="00354083">
      <w:pPr>
        <w:rPr>
          <w:rFonts w:ascii="David" w:hAnsi="David" w:cs="David"/>
          <w:sz w:val="24"/>
          <w:szCs w:val="24"/>
          <w:rtl/>
        </w:rPr>
      </w:pPr>
    </w:p>
    <w:p w14:paraId="183C8BB2" w14:textId="77777777" w:rsidR="00354083" w:rsidRPr="00344181" w:rsidRDefault="00354083" w:rsidP="00354083">
      <w:pPr>
        <w:jc w:val="center"/>
        <w:rPr>
          <w:rFonts w:ascii="David" w:hAnsi="David" w:cs="David"/>
          <w:sz w:val="24"/>
          <w:szCs w:val="24"/>
        </w:rPr>
      </w:pPr>
      <w:r w:rsidRPr="00344181">
        <w:rPr>
          <w:rFonts w:ascii="David" w:hAnsi="David" w:cs="David"/>
          <w:sz w:val="24"/>
          <w:szCs w:val="24"/>
          <w:rtl/>
        </w:rPr>
        <w:t>*****</w:t>
      </w:r>
    </w:p>
    <w:sectPr w:rsidR="00354083" w:rsidRPr="00344181" w:rsidSect="001602EB">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5B30" w14:textId="77777777" w:rsidR="002C3593" w:rsidRDefault="002C3593" w:rsidP="006E4EE0">
      <w:pPr>
        <w:spacing w:after="0" w:line="240" w:lineRule="auto"/>
      </w:pPr>
      <w:r>
        <w:separator/>
      </w:r>
    </w:p>
  </w:endnote>
  <w:endnote w:type="continuationSeparator" w:id="0">
    <w:p w14:paraId="268C79A1" w14:textId="77777777" w:rsidR="002C3593" w:rsidRDefault="002C3593" w:rsidP="006E4EE0">
      <w:pPr>
        <w:spacing w:after="0" w:line="240" w:lineRule="auto"/>
      </w:pPr>
      <w:r>
        <w:continuationSeparator/>
      </w:r>
    </w:p>
  </w:endnote>
  <w:endnote w:type="continuationNotice" w:id="1">
    <w:p w14:paraId="325BD3B0" w14:textId="77777777" w:rsidR="002C3593" w:rsidRDefault="002C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7332" w14:textId="77777777" w:rsidR="009471F9" w:rsidRDefault="009471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3AB2" w14:textId="018143E8" w:rsidR="006208B3" w:rsidRDefault="006208B3">
    <w:pPr>
      <w:pStyle w:val="a5"/>
      <w:jc w:val="right"/>
      <w:rPr>
        <w:rtl/>
      </w:rPr>
    </w:pPr>
  </w:p>
  <w:p w14:paraId="51AFB905" w14:textId="77777777" w:rsidR="00354083" w:rsidRDefault="009471F9" w:rsidP="005A0A30">
    <w:pPr>
      <w:pStyle w:val="a5"/>
      <w:jc w:val="center"/>
    </w:pPr>
    <w:sdt>
      <w:sdtPr>
        <w:rPr>
          <w:rtl/>
        </w:rPr>
        <w:id w:val="560219117"/>
        <w:docPartObj>
          <w:docPartGallery w:val="Page Numbers (Bottom of Page)"/>
          <w:docPartUnique/>
        </w:docPartObj>
      </w:sdtPr>
      <w:sdtEndPr/>
      <w:sdtContent>
        <w:r w:rsidR="00354083">
          <w:fldChar w:fldCharType="begin"/>
        </w:r>
        <w:r w:rsidR="00354083">
          <w:instrText>PAGE   \* MERGEFORMAT</w:instrText>
        </w:r>
        <w:r w:rsidR="00354083">
          <w:fldChar w:fldCharType="separate"/>
        </w:r>
        <w:r w:rsidR="00354083">
          <w:rPr>
            <w:rtl/>
            <w:lang w:val="he-IL"/>
          </w:rPr>
          <w:t>2</w:t>
        </w:r>
        <w:r w:rsidR="00354083">
          <w:fldChar w:fldCharType="end"/>
        </w:r>
      </w:sdtContent>
    </w:sdt>
  </w:p>
  <w:p w14:paraId="5D59E67B" w14:textId="77777777" w:rsidR="006E4EE0" w:rsidRDefault="006E4EE0">
    <w:pPr>
      <w:pStyle w:val="a5"/>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1296" w14:textId="77777777" w:rsidR="009471F9" w:rsidRDefault="009471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0954" w14:textId="77777777" w:rsidR="002C3593" w:rsidRDefault="002C3593" w:rsidP="006E4EE0">
      <w:pPr>
        <w:spacing w:after="0" w:line="240" w:lineRule="auto"/>
      </w:pPr>
      <w:r>
        <w:separator/>
      </w:r>
    </w:p>
  </w:footnote>
  <w:footnote w:type="continuationSeparator" w:id="0">
    <w:p w14:paraId="0DF5D53C" w14:textId="77777777" w:rsidR="002C3593" w:rsidRDefault="002C3593" w:rsidP="006E4EE0">
      <w:pPr>
        <w:spacing w:after="0" w:line="240" w:lineRule="auto"/>
      </w:pPr>
      <w:r>
        <w:continuationSeparator/>
      </w:r>
    </w:p>
  </w:footnote>
  <w:footnote w:type="continuationNotice" w:id="1">
    <w:p w14:paraId="07FA0AD3" w14:textId="77777777" w:rsidR="002C3593" w:rsidRDefault="002C3593">
      <w:pPr>
        <w:spacing w:after="0" w:line="240" w:lineRule="auto"/>
      </w:pPr>
    </w:p>
  </w:footnote>
  <w:footnote w:id="2">
    <w:p w14:paraId="5DB0EFCA" w14:textId="15C0AA3E" w:rsidR="00F20707" w:rsidRDefault="00F20707" w:rsidP="005A0A30">
      <w:pPr>
        <w:spacing w:line="276" w:lineRule="auto"/>
        <w:ind w:left="116" w:hanging="180"/>
        <w:jc w:val="both"/>
      </w:pPr>
      <w:r w:rsidRPr="001F693F">
        <w:rPr>
          <w:rFonts w:ascii="David" w:hAnsi="David" w:cs="David"/>
          <w:sz w:val="20"/>
          <w:szCs w:val="20"/>
        </w:rPr>
        <w:footnoteRef/>
      </w:r>
      <w:r w:rsidRPr="00344181">
        <w:rPr>
          <w:rFonts w:ascii="David" w:hAnsi="David" w:cs="David"/>
          <w:sz w:val="24"/>
          <w:szCs w:val="24"/>
          <w:rtl/>
        </w:rPr>
        <w:t xml:space="preserve"> </w:t>
      </w:r>
      <w:r w:rsidRPr="001F693F">
        <w:rPr>
          <w:rFonts w:ascii="David" w:hAnsi="David" w:cs="David" w:hint="cs"/>
          <w:sz w:val="20"/>
          <w:szCs w:val="20"/>
          <w:rtl/>
        </w:rPr>
        <w:t>תחומי האנרגיה וה</w:t>
      </w:r>
      <w:r w:rsidR="00A9146E">
        <w:rPr>
          <w:rFonts w:ascii="David" w:hAnsi="David" w:cs="David" w:hint="cs"/>
          <w:sz w:val="20"/>
          <w:szCs w:val="20"/>
          <w:rtl/>
        </w:rPr>
        <w:t>ת</w:t>
      </w:r>
      <w:r w:rsidRPr="001F693F">
        <w:rPr>
          <w:rFonts w:ascii="David" w:hAnsi="David" w:cs="David" w:hint="cs"/>
          <w:sz w:val="20"/>
          <w:szCs w:val="20"/>
          <w:rtl/>
        </w:rPr>
        <w:t xml:space="preserve">שתיות הפוסילים  שרוב עיסוקם כולל חיפוש הפקה וייצור דלקים פוסיליים הינם כל אחד מאלה: א. תאגידים שלפחות 25% </w:t>
      </w:r>
      <w:r>
        <w:rPr>
          <w:rFonts w:ascii="David" w:hAnsi="David" w:cs="David" w:hint="cs"/>
          <w:sz w:val="20"/>
          <w:szCs w:val="20"/>
          <w:rtl/>
        </w:rPr>
        <w:t>מהכנסותיהם</w:t>
      </w:r>
      <w:r w:rsidRPr="001F693F">
        <w:rPr>
          <w:rFonts w:ascii="David" w:hAnsi="David" w:cs="David" w:hint="cs"/>
          <w:sz w:val="20"/>
          <w:szCs w:val="20"/>
          <w:rtl/>
        </w:rPr>
        <w:t xml:space="preserve"> על פי הדוחות הכספיים בארבעת החודשים שקדמו להשקעה מקורם בחיפוש, הפקה, ייצור ושינוע של דלקים פוסיליים. ב. מכשירי השקעה (קרנות השקעה, קרנות נאמנות, קרנות סל, </w:t>
      </w:r>
      <w:r w:rsidRPr="001F693F">
        <w:rPr>
          <w:rFonts w:ascii="David" w:hAnsi="David" w:cs="David" w:hint="cs"/>
          <w:sz w:val="20"/>
          <w:szCs w:val="20"/>
        </w:rPr>
        <w:t>ET</w:t>
      </w:r>
      <w:r w:rsidRPr="001F693F">
        <w:rPr>
          <w:rFonts w:ascii="David" w:hAnsi="David" w:cs="David"/>
          <w:sz w:val="20"/>
          <w:szCs w:val="20"/>
        </w:rPr>
        <w:t>F</w:t>
      </w:r>
      <w:r w:rsidRPr="001F693F">
        <w:rPr>
          <w:rFonts w:ascii="David" w:hAnsi="David" w:cs="David" w:hint="cs"/>
          <w:sz w:val="20"/>
          <w:szCs w:val="20"/>
          <w:rtl/>
        </w:rPr>
        <w:t xml:space="preserve"> ו-</w:t>
      </w:r>
      <w:r w:rsidRPr="001F693F">
        <w:rPr>
          <w:rFonts w:ascii="David" w:hAnsi="David" w:cs="David" w:hint="cs"/>
          <w:sz w:val="20"/>
          <w:szCs w:val="20"/>
        </w:rPr>
        <w:t>ETN</w:t>
      </w:r>
      <w:r w:rsidRPr="001F693F">
        <w:rPr>
          <w:rFonts w:ascii="David" w:hAnsi="David" w:cs="David" w:hint="cs"/>
          <w:sz w:val="20"/>
          <w:szCs w:val="20"/>
          <w:rtl/>
        </w:rPr>
        <w:t>) שמדיניות ההשקעות המוצהרת שלהם בעת ביצוע ההשקעה גורסת כי לפחות 25% מאחזקותיהם יהיו בתחום החיפוש, ההפקה, ייצור ושינוע של דלקים פוסיליים.</w:t>
      </w:r>
      <w:r>
        <w:rPr>
          <w:rFonts w:ascii="David" w:hAnsi="David" w:cs="David" w:hint="cs"/>
          <w:sz w:val="24"/>
          <w:szCs w:val="24"/>
          <w:rtl/>
        </w:rPr>
        <w:t xml:space="preserve">  </w:t>
      </w:r>
    </w:p>
  </w:footnote>
  <w:footnote w:id="3">
    <w:p w14:paraId="409D9A8A" w14:textId="307DB28E" w:rsidR="009C1F6F" w:rsidRPr="009C1F6F" w:rsidRDefault="009C1F6F" w:rsidP="009C1F6F">
      <w:pPr>
        <w:pStyle w:val="a9"/>
        <w:rPr>
          <w:rFonts w:ascii="David" w:hAnsi="David" w:cs="David"/>
          <w:rtl/>
        </w:rPr>
      </w:pPr>
      <w:r>
        <w:rPr>
          <w:rStyle w:val="ab"/>
        </w:rPr>
        <w:footnoteRef/>
      </w:r>
      <w:r>
        <w:rPr>
          <w:rtl/>
        </w:rPr>
        <w:t xml:space="preserve"> </w:t>
      </w:r>
      <w:r w:rsidRPr="009C1F6F">
        <w:rPr>
          <w:rFonts w:hint="cs"/>
          <w:b/>
          <w:bCs/>
          <w:rtl/>
        </w:rPr>
        <w:t xml:space="preserve">השקעות </w:t>
      </w:r>
      <w:r w:rsidRPr="009C1F6F">
        <w:rPr>
          <w:b/>
          <w:bCs/>
        </w:rPr>
        <w:t>Impact</w:t>
      </w:r>
      <w:r>
        <w:t xml:space="preserve"> </w:t>
      </w:r>
      <w:r>
        <w:rPr>
          <w:rFonts w:hint="cs"/>
          <w:rtl/>
        </w:rPr>
        <w:t xml:space="preserve"> - </w:t>
      </w:r>
      <w:r w:rsidRPr="009C1F6F">
        <w:rPr>
          <w:rFonts w:ascii="David" w:hAnsi="David" w:cs="David" w:hint="cs"/>
          <w:rtl/>
        </w:rPr>
        <w:t xml:space="preserve">השקעות </w:t>
      </w:r>
      <w:r>
        <w:rPr>
          <w:rFonts w:ascii="David" w:hAnsi="David" w:cs="David" w:hint="cs"/>
          <w:rtl/>
        </w:rPr>
        <w:t xml:space="preserve">שמטרתן </w:t>
      </w:r>
      <w:r w:rsidRPr="009C1F6F">
        <w:rPr>
          <w:rFonts w:ascii="David" w:hAnsi="David" w:cs="David" w:hint="cs"/>
          <w:rtl/>
        </w:rPr>
        <w:t>להשיא תשואה חברתית או סביבתית מדידה, לצד תשואה כלכלית</w:t>
      </w:r>
      <w:r w:rsidRPr="009C1F6F">
        <w:rPr>
          <w:rFonts w:ascii="David" w:hAnsi="David" w:cs="David" w:hint="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880B" w14:textId="77777777" w:rsidR="009471F9" w:rsidRDefault="009471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C526" w14:textId="4BE3B3B9" w:rsidR="00596A1C" w:rsidRDefault="00E50E51" w:rsidP="00596A1C">
    <w:pPr>
      <w:pStyle w:val="a3"/>
      <w:jc w:val="right"/>
      <w:rPr>
        <w:rtl/>
      </w:rPr>
    </w:pPr>
    <w:r>
      <w:rPr>
        <w:noProof/>
      </w:rPr>
      <w:drawing>
        <wp:inline distT="0" distB="0" distL="0" distR="0" wp14:anchorId="7972AB93" wp14:editId="3F2D31C5">
          <wp:extent cx="2232660" cy="964653"/>
          <wp:effectExtent l="0" t="0" r="0" b="6985"/>
          <wp:docPr id="1028" name="תמונה 2" descr="תמונה שמכילה גופן, גרפיקה, עיצוב גרפי, טקסט&#10;&#10;התיאור נוצר באופן אוטומטי">
            <a:extLst xmlns:a="http://schemas.openxmlformats.org/drawingml/2006/main">
              <a:ext uri="{FF2B5EF4-FFF2-40B4-BE49-F238E27FC236}">
                <a16:creationId xmlns:a16="http://schemas.microsoft.com/office/drawing/2014/main" id="{CF676695-E9CD-1105-8B1B-E2CBA3FC0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תמונה 2" descr="תמונה שמכילה גופן, גרפיקה, עיצוב גרפי, טקסט&#10;&#10;התיאור נוצר באופן אוטומטי">
                    <a:extLst>
                      <a:ext uri="{FF2B5EF4-FFF2-40B4-BE49-F238E27FC236}">
                        <a16:creationId xmlns:a16="http://schemas.microsoft.com/office/drawing/2014/main" id="{CF676695-E9CD-1105-8B1B-E2CBA3FC03C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964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4A8F3E" w14:textId="17FB5D47" w:rsidR="00596A1C" w:rsidRDefault="00596A1C" w:rsidP="00596A1C">
    <w:pPr>
      <w:pStyle w:val="a3"/>
      <w:rPr>
        <w:color w:val="FF0000"/>
        <w:rtl/>
      </w:rPr>
    </w:pPr>
    <w:r w:rsidRPr="00596A1C">
      <w:rPr>
        <w:rFonts w:hint="cs"/>
        <w:color w:val="FF0000"/>
        <w:rtl/>
      </w:rPr>
      <w:t xml:space="preserve">מדיניות </w:t>
    </w:r>
    <w:r w:rsidR="00E50E51">
      <w:rPr>
        <w:rFonts w:hint="cs"/>
        <w:color w:val="FF0000"/>
        <w:rtl/>
      </w:rPr>
      <w:t xml:space="preserve">דצמבר </w:t>
    </w:r>
    <w:r w:rsidR="009471F9">
      <w:rPr>
        <w:rFonts w:hint="cs"/>
        <w:color w:val="FF0000"/>
        <w:rtl/>
      </w:rPr>
      <w:t>2022</w:t>
    </w:r>
  </w:p>
  <w:p w14:paraId="48AD66CC" w14:textId="77777777" w:rsidR="00834878" w:rsidRPr="005A0A30" w:rsidRDefault="00834878" w:rsidP="00596A1C">
    <w:pPr>
      <w:pStyle w:val="a3"/>
      <w:rPr>
        <w:color w:val="FF000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5B47" w14:textId="77777777" w:rsidR="009471F9" w:rsidRDefault="009471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12C"/>
    <w:multiLevelType w:val="multilevel"/>
    <w:tmpl w:val="8B26B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B3696"/>
    <w:multiLevelType w:val="hybridMultilevel"/>
    <w:tmpl w:val="E2E4FEE0"/>
    <w:lvl w:ilvl="0" w:tplc="948EA0C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44674"/>
    <w:multiLevelType w:val="hybridMultilevel"/>
    <w:tmpl w:val="E2E4FEE0"/>
    <w:lvl w:ilvl="0" w:tplc="948EA0C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13825">
    <w:abstractNumId w:val="1"/>
  </w:num>
  <w:num w:numId="2" w16cid:durableId="1165432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59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E0"/>
    <w:rsid w:val="00031D07"/>
    <w:rsid w:val="000453DB"/>
    <w:rsid w:val="00080DFC"/>
    <w:rsid w:val="00082C73"/>
    <w:rsid w:val="000A21B9"/>
    <w:rsid w:val="000B57D8"/>
    <w:rsid w:val="000E4C7A"/>
    <w:rsid w:val="00114CC9"/>
    <w:rsid w:val="00126D2B"/>
    <w:rsid w:val="00140C74"/>
    <w:rsid w:val="00142EE1"/>
    <w:rsid w:val="001602EB"/>
    <w:rsid w:val="00163C8C"/>
    <w:rsid w:val="00182A2A"/>
    <w:rsid w:val="001B4D14"/>
    <w:rsid w:val="001C4B95"/>
    <w:rsid w:val="001C7879"/>
    <w:rsid w:val="001F693F"/>
    <w:rsid w:val="00224876"/>
    <w:rsid w:val="0023690F"/>
    <w:rsid w:val="00256C97"/>
    <w:rsid w:val="00283BF4"/>
    <w:rsid w:val="002C3593"/>
    <w:rsid w:val="002F3B71"/>
    <w:rsid w:val="00315153"/>
    <w:rsid w:val="00322E39"/>
    <w:rsid w:val="00344181"/>
    <w:rsid w:val="00354083"/>
    <w:rsid w:val="00365AD6"/>
    <w:rsid w:val="00395E74"/>
    <w:rsid w:val="003B146F"/>
    <w:rsid w:val="003B7EAB"/>
    <w:rsid w:val="003C6432"/>
    <w:rsid w:val="003D74CE"/>
    <w:rsid w:val="003F68B2"/>
    <w:rsid w:val="004628A2"/>
    <w:rsid w:val="00495D1F"/>
    <w:rsid w:val="00501E70"/>
    <w:rsid w:val="00532FCC"/>
    <w:rsid w:val="005425AA"/>
    <w:rsid w:val="00591862"/>
    <w:rsid w:val="00596A1C"/>
    <w:rsid w:val="005A0A30"/>
    <w:rsid w:val="005A3BA7"/>
    <w:rsid w:val="005D58A2"/>
    <w:rsid w:val="006208B3"/>
    <w:rsid w:val="00650C6C"/>
    <w:rsid w:val="00655F38"/>
    <w:rsid w:val="006752AF"/>
    <w:rsid w:val="00694115"/>
    <w:rsid w:val="006A4627"/>
    <w:rsid w:val="006B3B64"/>
    <w:rsid w:val="006E4EE0"/>
    <w:rsid w:val="00734748"/>
    <w:rsid w:val="00740CA9"/>
    <w:rsid w:val="007A183B"/>
    <w:rsid w:val="007B528D"/>
    <w:rsid w:val="007E6634"/>
    <w:rsid w:val="007F5854"/>
    <w:rsid w:val="00834878"/>
    <w:rsid w:val="008529DC"/>
    <w:rsid w:val="00853165"/>
    <w:rsid w:val="00874D53"/>
    <w:rsid w:val="00886DF2"/>
    <w:rsid w:val="008A3EFB"/>
    <w:rsid w:val="00916964"/>
    <w:rsid w:val="00941435"/>
    <w:rsid w:val="009471F9"/>
    <w:rsid w:val="00952A94"/>
    <w:rsid w:val="00967048"/>
    <w:rsid w:val="009847B3"/>
    <w:rsid w:val="009956B0"/>
    <w:rsid w:val="009C1F6F"/>
    <w:rsid w:val="009C7BB1"/>
    <w:rsid w:val="009E0CC4"/>
    <w:rsid w:val="009F5D8B"/>
    <w:rsid w:val="00A156CB"/>
    <w:rsid w:val="00A414AF"/>
    <w:rsid w:val="00A9146E"/>
    <w:rsid w:val="00AA386F"/>
    <w:rsid w:val="00AC4DC0"/>
    <w:rsid w:val="00AD6CDB"/>
    <w:rsid w:val="00B15307"/>
    <w:rsid w:val="00B16A21"/>
    <w:rsid w:val="00B378C7"/>
    <w:rsid w:val="00BA0A3D"/>
    <w:rsid w:val="00BA66B2"/>
    <w:rsid w:val="00BD45FF"/>
    <w:rsid w:val="00BE3445"/>
    <w:rsid w:val="00BE5F8E"/>
    <w:rsid w:val="00C078B7"/>
    <w:rsid w:val="00C119D4"/>
    <w:rsid w:val="00C17DDD"/>
    <w:rsid w:val="00C55540"/>
    <w:rsid w:val="00C6767D"/>
    <w:rsid w:val="00C77701"/>
    <w:rsid w:val="00CB3472"/>
    <w:rsid w:val="00CD3FE7"/>
    <w:rsid w:val="00CD42F3"/>
    <w:rsid w:val="00CD480B"/>
    <w:rsid w:val="00CF4BDC"/>
    <w:rsid w:val="00D3721F"/>
    <w:rsid w:val="00D44EEF"/>
    <w:rsid w:val="00D66B96"/>
    <w:rsid w:val="00D76359"/>
    <w:rsid w:val="00D85A33"/>
    <w:rsid w:val="00DB790C"/>
    <w:rsid w:val="00DD7079"/>
    <w:rsid w:val="00DE7DB0"/>
    <w:rsid w:val="00DF1BC8"/>
    <w:rsid w:val="00E00C02"/>
    <w:rsid w:val="00E03B25"/>
    <w:rsid w:val="00E50E51"/>
    <w:rsid w:val="00E54965"/>
    <w:rsid w:val="00E67B0A"/>
    <w:rsid w:val="00E71F2D"/>
    <w:rsid w:val="00EF2EF4"/>
    <w:rsid w:val="00F20707"/>
    <w:rsid w:val="00F4503E"/>
    <w:rsid w:val="00F51FCE"/>
    <w:rsid w:val="00F603F7"/>
    <w:rsid w:val="00FC0AC0"/>
    <w:rsid w:val="00FC23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C87"/>
  <w15:chartTrackingRefBased/>
  <w15:docId w15:val="{5186921F-5834-420B-9B4D-87318899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0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EE0"/>
    <w:pPr>
      <w:tabs>
        <w:tab w:val="center" w:pos="4153"/>
        <w:tab w:val="right" w:pos="8306"/>
      </w:tabs>
      <w:spacing w:after="0" w:line="240" w:lineRule="auto"/>
    </w:pPr>
  </w:style>
  <w:style w:type="character" w:customStyle="1" w:styleId="a4">
    <w:name w:val="כותרת עליונה תו"/>
    <w:basedOn w:val="a0"/>
    <w:link w:val="a3"/>
    <w:uiPriority w:val="99"/>
    <w:rsid w:val="006E4EE0"/>
  </w:style>
  <w:style w:type="paragraph" w:styleId="a5">
    <w:name w:val="footer"/>
    <w:basedOn w:val="a"/>
    <w:link w:val="a6"/>
    <w:uiPriority w:val="99"/>
    <w:unhideWhenUsed/>
    <w:rsid w:val="006E4EE0"/>
    <w:pPr>
      <w:tabs>
        <w:tab w:val="center" w:pos="4153"/>
        <w:tab w:val="right" w:pos="8306"/>
      </w:tabs>
      <w:spacing w:after="0" w:line="240" w:lineRule="auto"/>
    </w:pPr>
  </w:style>
  <w:style w:type="character" w:customStyle="1" w:styleId="a6">
    <w:name w:val="כותרת תחתונה תו"/>
    <w:basedOn w:val="a0"/>
    <w:link w:val="a5"/>
    <w:uiPriority w:val="99"/>
    <w:rsid w:val="006E4EE0"/>
  </w:style>
  <w:style w:type="table" w:styleId="a7">
    <w:name w:val="Table Grid"/>
    <w:basedOn w:val="a1"/>
    <w:uiPriority w:val="39"/>
    <w:rsid w:val="00F4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78C7"/>
    <w:pPr>
      <w:ind w:left="720"/>
      <w:contextualSpacing/>
    </w:pPr>
  </w:style>
  <w:style w:type="paragraph" w:styleId="a9">
    <w:name w:val="footnote text"/>
    <w:basedOn w:val="a"/>
    <w:link w:val="aa"/>
    <w:uiPriority w:val="99"/>
    <w:semiHidden/>
    <w:unhideWhenUsed/>
    <w:rsid w:val="00322E39"/>
    <w:pPr>
      <w:spacing w:after="0" w:line="240" w:lineRule="auto"/>
    </w:pPr>
    <w:rPr>
      <w:sz w:val="20"/>
      <w:szCs w:val="20"/>
    </w:rPr>
  </w:style>
  <w:style w:type="character" w:customStyle="1" w:styleId="aa">
    <w:name w:val="טקסט הערת שוליים תו"/>
    <w:basedOn w:val="a0"/>
    <w:link w:val="a9"/>
    <w:uiPriority w:val="99"/>
    <w:semiHidden/>
    <w:rsid w:val="00322E39"/>
    <w:rPr>
      <w:sz w:val="20"/>
      <w:szCs w:val="20"/>
    </w:rPr>
  </w:style>
  <w:style w:type="character" w:styleId="ab">
    <w:name w:val="footnote reference"/>
    <w:basedOn w:val="a0"/>
    <w:uiPriority w:val="99"/>
    <w:semiHidden/>
    <w:unhideWhenUsed/>
    <w:rsid w:val="00322E39"/>
    <w:rPr>
      <w:vertAlign w:val="superscript"/>
    </w:rPr>
  </w:style>
  <w:style w:type="paragraph" w:styleId="ac">
    <w:name w:val="Revision"/>
    <w:hidden/>
    <w:uiPriority w:val="99"/>
    <w:semiHidden/>
    <w:rsid w:val="00694115"/>
    <w:pPr>
      <w:spacing w:after="0" w:line="240" w:lineRule="auto"/>
    </w:pPr>
  </w:style>
  <w:style w:type="paragraph" w:styleId="ad">
    <w:name w:val="Balloon Text"/>
    <w:basedOn w:val="a"/>
    <w:link w:val="ae"/>
    <w:uiPriority w:val="99"/>
    <w:semiHidden/>
    <w:unhideWhenUsed/>
    <w:rsid w:val="00B16A21"/>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B16A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7025">
      <w:bodyDiv w:val="1"/>
      <w:marLeft w:val="0"/>
      <w:marRight w:val="0"/>
      <w:marTop w:val="0"/>
      <w:marBottom w:val="0"/>
      <w:divBdr>
        <w:top w:val="none" w:sz="0" w:space="0" w:color="auto"/>
        <w:left w:val="none" w:sz="0" w:space="0" w:color="auto"/>
        <w:bottom w:val="none" w:sz="0" w:space="0" w:color="auto"/>
        <w:right w:val="none" w:sz="0" w:space="0" w:color="auto"/>
      </w:divBdr>
    </w:div>
    <w:div w:id="1704790101">
      <w:bodyDiv w:val="1"/>
      <w:marLeft w:val="0"/>
      <w:marRight w:val="0"/>
      <w:marTop w:val="0"/>
      <w:marBottom w:val="0"/>
      <w:divBdr>
        <w:top w:val="none" w:sz="0" w:space="0" w:color="auto"/>
        <w:left w:val="none" w:sz="0" w:space="0" w:color="auto"/>
        <w:bottom w:val="none" w:sz="0" w:space="0" w:color="auto"/>
        <w:right w:val="none" w:sz="0" w:space="0" w:color="auto"/>
      </w:divBdr>
    </w:div>
    <w:div w:id="18019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66b7cd6-074e-4625-b78b-b7ee00a99a5f">
      <UserInfo>
        <DisplayName/>
        <AccountId xsi:nil="true"/>
        <AccountType/>
      </UserInfo>
    </Person>
    <TaxCatchAll xmlns="07d47c4e-7392-40c5-bb66-99e9e4a6c644" xsi:nil="true"/>
    <_x05ea__x05d0__x05e8__x05d9__x05da__x05d5__x05e9__x05e2__x05d4_ xmlns="666b7cd6-074e-4625-b78b-b7ee00a99a5f" xsi:nil="true"/>
    <lcf76f155ced4ddcb4097134ff3c332f xmlns="666b7cd6-074e-4625-b78b-b7ee00a99a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E1BA464270C191438B23239B5987433E" ma:contentTypeVersion="18" ma:contentTypeDescription="צור מסמך חדש." ma:contentTypeScope="" ma:versionID="56890f254e544498a08d5681a43b0fbc">
  <xsd:schema xmlns:xsd="http://www.w3.org/2001/XMLSchema" xmlns:xs="http://www.w3.org/2001/XMLSchema" xmlns:p="http://schemas.microsoft.com/office/2006/metadata/properties" xmlns:ns2="666b7cd6-074e-4625-b78b-b7ee00a99a5f" xmlns:ns3="07d47c4e-7392-40c5-bb66-99e9e4a6c644" targetNamespace="http://schemas.microsoft.com/office/2006/metadata/properties" ma:root="true" ma:fieldsID="871ee2ad686414089db8103adfc825f7" ns2:_="" ns3:_="">
    <xsd:import namespace="666b7cd6-074e-4625-b78b-b7ee00a99a5f"/>
    <xsd:import namespace="07d47c4e-7392-40c5-bb66-99e9e4a6c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_x05ea__x05d0__x05e8__x05d9__x05da__x05d5__x05e9__x05e2__x05d4_" minOccurs="0"/>
                <xsd:element ref="ns2:Pers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7cd6-074e-4625-b78b-b7ee00a9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x05ea__x05d0__x05e8__x05d9__x05da__x05d5__x05e9__x05e2__x05d4_" ma:index="20" nillable="true" ma:displayName="תאריך ושעה" ma:format="DateOnly" ma:internalName="_x05ea__x05d0__x05e8__x05d9__x05da__x05d5__x05e9__x05e2__x05d4_">
      <xsd:simpleType>
        <xsd:restriction base="dms:DateTime"/>
      </xsd:simpleType>
    </xsd:element>
    <xsd:element name="Person" ma:index="2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תגיות תמונה" ma:readOnly="false" ma:fieldId="{5cf76f15-5ced-4ddc-b409-7134ff3c332f}" ma:taxonomyMulti="true" ma:sspId="bdbd7f4c-6795-48db-8f65-28e1587c4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47c4e-7392-40c5-bb66-99e9e4a6c644" elementFormDefault="qualified">
    <xsd:import namespace="http://schemas.microsoft.com/office/2006/documentManagement/types"/>
    <xsd:import namespace="http://schemas.microsoft.com/office/infopath/2007/PartnerControls"/>
    <xsd:element name="SharedWithUsers" ma:index="17"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משותף עם פרטים" ma:internalName="SharedWithDetails" ma:readOnly="true">
      <xsd:simpleType>
        <xsd:restriction base="dms:Note">
          <xsd:maxLength value="255"/>
        </xsd:restriction>
      </xsd:simpleType>
    </xsd:element>
    <xsd:element name="TaxCatchAll" ma:index="25" nillable="true" ma:displayName="Taxonomy Catch All Column" ma:hidden="true" ma:list="{a20ce9df-6cc6-4a3f-b5c3-d8b7d6a69680}" ma:internalName="TaxCatchAll" ma:showField="CatchAllData" ma:web="07d47c4e-7392-40c5-bb66-99e9e4a6c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FFC5B-8AC2-4E82-85F3-9607612B8C80}">
  <ds:schemaRefs>
    <ds:schemaRef ds:uri="http://schemas.openxmlformats.org/officeDocument/2006/bibliography"/>
  </ds:schemaRefs>
</ds:datastoreItem>
</file>

<file path=customXml/itemProps2.xml><?xml version="1.0" encoding="utf-8"?>
<ds:datastoreItem xmlns:ds="http://schemas.openxmlformats.org/officeDocument/2006/customXml" ds:itemID="{D96D6B88-B077-45B7-B97D-00758E586D49}">
  <ds:schemaRefs>
    <ds:schemaRef ds:uri="http://schemas.microsoft.com/sharepoint/v3/contenttype/forms"/>
  </ds:schemaRefs>
</ds:datastoreItem>
</file>

<file path=customXml/itemProps3.xml><?xml version="1.0" encoding="utf-8"?>
<ds:datastoreItem xmlns:ds="http://schemas.openxmlformats.org/officeDocument/2006/customXml" ds:itemID="{863C9BA5-FC9C-4995-9FB6-31D41E78EA0A}">
  <ds:schemaRefs>
    <ds:schemaRef ds:uri="http://schemas.microsoft.com/office/2006/metadata/properties"/>
    <ds:schemaRef ds:uri="http://schemas.microsoft.com/office/infopath/2007/PartnerControls"/>
    <ds:schemaRef ds:uri="666b7cd6-074e-4625-b78b-b7ee00a99a5f"/>
    <ds:schemaRef ds:uri="07d47c4e-7392-40c5-bb66-99e9e4a6c644"/>
  </ds:schemaRefs>
</ds:datastoreItem>
</file>

<file path=customXml/itemProps4.xml><?xml version="1.0" encoding="utf-8"?>
<ds:datastoreItem xmlns:ds="http://schemas.openxmlformats.org/officeDocument/2006/customXml" ds:itemID="{16685A37-557C-4C14-BA48-D240BEA68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7cd6-074e-4625-b78b-b7ee00a99a5f"/>
    <ds:schemaRef ds:uri="07d47c4e-7392-40c5-bb66-99e9e4a6c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4849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dc:creator>
  <cp:keywords/>
  <dc:description/>
  <cp:lastModifiedBy>מזכירות - גל גמל</cp:lastModifiedBy>
  <cp:revision>3</cp:revision>
  <dcterms:created xsi:type="dcterms:W3CDTF">2023-07-10T07:11:00Z</dcterms:created>
  <dcterms:modified xsi:type="dcterms:W3CDTF">2023-07-10T07:11:00Z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0x010100E1BA464270C191438B23239B5987433E</vt:lpwstr>
  </property>
  <property fmtid="{D5CDD505-2E9C-101B-9397-08002B2CF9AE}" pid="3" name="MediaServiceImageTags">
    <vt:lpwstr/>
  </property>
</Properties>
</file>